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center"/>
        <w:rPr>
          <w:rFonts w:hint="default" w:ascii="Times New Roman" w:hAnsi="Times New Roman" w:eastAsia="Times New Roman"/>
          <w:kern w:val="2"/>
          <w:sz w:val="44"/>
          <w:lang w:val="zh-CN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default" w:ascii="Times New Roman" w:hAnsi="Times New Roman" w:eastAsia="Times New Roman"/>
          <w:kern w:val="2"/>
          <w:sz w:val="44"/>
          <w:lang w:val="zh-CN"/>
        </w:rPr>
      </w:pPr>
    </w:p>
    <w:p>
      <w:pPr>
        <w:spacing w:line="580" w:lineRule="exact"/>
        <w:jc w:val="center"/>
        <w:rPr>
          <w:rFonts w:hint="default" w:ascii="Times New Roman" w:hAnsi="Times New Roman" w:eastAsia="Times New Roman"/>
          <w:kern w:val="2"/>
          <w:sz w:val="44"/>
          <w:lang w:val="zh-CN"/>
        </w:rPr>
      </w:pPr>
    </w:p>
    <w:p>
      <w:pPr>
        <w:spacing w:line="580" w:lineRule="exact"/>
        <w:jc w:val="center"/>
        <w:rPr>
          <w:rFonts w:hint="default" w:ascii="Times New Roman" w:hAnsi="Times New Roman" w:eastAsia="Times New Roman"/>
          <w:kern w:val="2"/>
          <w:sz w:val="44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sz w:val="48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sz w:val="48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sz w:val="48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sz w:val="48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44"/>
          <w:lang w:val="zh-CN"/>
        </w:rPr>
      </w:pPr>
      <w:r>
        <w:rPr>
          <w:rFonts w:hint="eastAsia" w:ascii="方正小标宋简体" w:hAnsi="方正小标宋简体" w:eastAsia="方正小标宋简体"/>
          <w:sz w:val="48"/>
          <w:lang w:val="zh-CN"/>
        </w:rPr>
        <w:t>天津图书馆</w:t>
      </w: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lang w:val="en-US"/>
        </w:rPr>
      </w:pPr>
      <w:r>
        <w:rPr>
          <w:rFonts w:hint="eastAsia" w:ascii="方正小标宋简体" w:hAnsi="方正小标宋简体" w:eastAsia="方正小标宋简体"/>
          <w:sz w:val="48"/>
          <w:lang w:val="zh-CN"/>
        </w:rPr>
        <w:t>2024年单位预算</w:t>
      </w: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lang w:val="en-US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lang w:val="en-US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lang w:val="en-US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lang w:val="en-US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lang w:val="en-US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lang w:val="en-US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lang w:val="en-US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lang w:val="en-US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lang w:val="en-US"/>
        </w:rPr>
      </w:pPr>
    </w:p>
    <w:p>
      <w:pPr>
        <w:spacing w:line="580" w:lineRule="exact"/>
        <w:jc w:val="both"/>
        <w:rPr>
          <w:rFonts w:hint="eastAsia" w:ascii="黑体" w:hAnsi="黑体" w:eastAsia="黑体"/>
          <w:kern w:val="2"/>
          <w:sz w:val="30"/>
          <w:lang w:val="en-US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lang w:val="en-US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44"/>
          <w:lang w:val="en-US"/>
        </w:rPr>
      </w:pPr>
    </w:p>
    <w:p>
      <w:pPr>
        <w:spacing w:line="600" w:lineRule="exact"/>
        <w:jc w:val="center"/>
        <w:rPr>
          <w:rFonts w:hint="eastAsia" w:ascii="黑体" w:hAnsi="黑体" w:eastAsia="黑体"/>
          <w:kern w:val="2"/>
          <w:sz w:val="44"/>
          <w:lang w:val="en-US"/>
        </w:rPr>
        <w:sectPr>
          <w:pgSz w:w="12240" w:h="15840"/>
          <w:pgMar w:top="1440" w:right="1800" w:bottom="1440" w:left="1800" w:header="720" w:footer="720" w:gutter="0"/>
          <w:lnNumType w:countBy="0" w:distance="360"/>
          <w:cols w:space="720" w:num="1"/>
        </w:sectPr>
      </w:pPr>
    </w:p>
    <w:p>
      <w:pPr>
        <w:spacing w:line="600" w:lineRule="exact"/>
        <w:jc w:val="center"/>
        <w:rPr>
          <w:rFonts w:hint="eastAsia" w:ascii="黑体" w:hAnsi="黑体" w:eastAsia="黑体"/>
          <w:kern w:val="2"/>
          <w:sz w:val="44"/>
          <w:lang w:val="en-US"/>
        </w:rPr>
      </w:pPr>
      <w:r>
        <w:rPr>
          <w:rFonts w:hint="eastAsia" w:ascii="黑体" w:hAnsi="黑体" w:eastAsia="黑体"/>
          <w:kern w:val="2"/>
          <w:sz w:val="44"/>
          <w:lang w:val="en-US"/>
        </w:rPr>
        <w:t>目   录</w:t>
      </w:r>
    </w:p>
    <w:p>
      <w:pPr>
        <w:keepNext/>
        <w:keepLines/>
        <w:spacing w:line="600" w:lineRule="exact"/>
        <w:jc w:val="center"/>
        <w:rPr>
          <w:rFonts w:hint="eastAsia" w:ascii="黑体" w:hAnsi="黑体" w:eastAsia="黑体"/>
          <w:kern w:val="2"/>
          <w:sz w:val="30"/>
          <w:lang w:val="en-US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/>
          <w:b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b/>
          <w:kern w:val="2"/>
          <w:sz w:val="30"/>
          <w:lang w:val="en-US"/>
        </w:rPr>
        <w:t>第一部分  概 况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lang w:val="en-US"/>
        </w:rPr>
        <w:t>一、主要职责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lang w:val="en-US"/>
        </w:rPr>
        <w:t>二、机构设置情况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b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b/>
          <w:kern w:val="2"/>
          <w:sz w:val="30"/>
          <w:lang w:val="en-US"/>
        </w:rPr>
        <w:t>第二部分  2024年单位预算情况说明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lang w:val="en-US"/>
        </w:rPr>
        <w:t>一、关于收支总体情况表的说明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lang w:val="en-US"/>
        </w:rPr>
        <w:t>二、关于收入总体情况表的说明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lang w:val="en-US"/>
        </w:rPr>
        <w:t>三、关于支出总体情况表的说明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lang w:val="en-US"/>
        </w:rPr>
        <w:t>四、关于财政拨款收支总体情况表的说明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lang w:val="en-US"/>
        </w:rPr>
        <w:t>五、关于一般公共预算支出情况的说明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lang w:val="en-US"/>
        </w:rPr>
        <w:t>六、关于一般公共预算基本支出情况表的说明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lang w:val="en-US"/>
        </w:rPr>
        <w:t>七、关于一般公共预算“三公”经费支出情况表的说明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lang w:val="en-US"/>
        </w:rPr>
        <w:t>八、关于政府性基金预算支出情况表的说明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lang w:val="en-US"/>
        </w:rPr>
        <w:t>九、关于国有资本经营预算支出情况表的说明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lang w:val="en-US"/>
        </w:rPr>
        <w:t>十、其他重要事项的情况说明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b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b/>
          <w:kern w:val="2"/>
          <w:sz w:val="30"/>
          <w:lang w:val="en-US"/>
        </w:rPr>
        <w:t>第三部分  名词解释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b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b/>
          <w:kern w:val="2"/>
          <w:sz w:val="30"/>
          <w:lang w:val="en-US"/>
        </w:rPr>
        <w:t>第四部分  2024年单位预算表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lang w:val="en-US"/>
        </w:rPr>
        <w:t>一、收支总体情况表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lang w:val="en-US"/>
        </w:rPr>
        <w:t>二、收入总体情况表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lang w:val="en-US"/>
        </w:rPr>
        <w:t>三、支出总体情况表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  <w:sectPr>
          <w:footerReference r:id="rId3" w:type="default"/>
          <w:pgSz w:w="12240" w:h="15840"/>
          <w:pgMar w:top="1440" w:right="1800" w:bottom="1440" w:left="1800" w:header="720" w:footer="720" w:gutter="0"/>
          <w:lnNumType w:countBy="0" w:distance="360"/>
          <w:pgNumType w:start="1"/>
          <w:cols w:space="720" w:num="1"/>
        </w:sectPr>
      </w:pP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lang w:val="en-US"/>
        </w:rPr>
        <w:t>四、财政拨款收支总体情况表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lang w:val="en-US"/>
        </w:rPr>
        <w:t>五、一般公共预算支出情况表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lang w:val="en-US"/>
        </w:rPr>
        <w:t>六、一般公共预算基本支出情况表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lang w:val="en-US"/>
        </w:rPr>
        <w:t>七、一般公共预算“三公”经费支出情况表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lang w:val="en-US"/>
        </w:rPr>
        <w:t>八、政府性基金预算支出情况表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lang w:val="en-US"/>
        </w:rPr>
        <w:t>九、国有资本经营预算支出情况表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lang w:val="en-US"/>
        </w:rPr>
        <w:t>十、项目支出表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lang w:val="en-US"/>
        </w:rPr>
        <w:t>十一、关于空表的说明</w:t>
      </w:r>
      <w:r>
        <w:rPr>
          <w:rFonts w:hint="eastAsia" w:ascii="仿宋_GB2312" w:hAnsi="仿宋_GB2312" w:eastAsia="仿宋_GB2312"/>
          <w:kern w:val="2"/>
          <w:sz w:val="30"/>
          <w:lang w:val="en-US"/>
        </w:rPr>
        <w:tab/>
      </w: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lang w:val="zh-CN"/>
        </w:rPr>
      </w:pPr>
    </w:p>
    <w:p>
      <w:pPr>
        <w:spacing w:line="580" w:lineRule="exact"/>
        <w:jc w:val="center"/>
        <w:rPr>
          <w:rFonts w:hint="default" w:ascii="Times New Roman" w:hAnsi="Times New Roman" w:eastAsia="Times New Roman"/>
          <w:kern w:val="2"/>
          <w:sz w:val="44"/>
          <w:highlight w:val="white"/>
          <w:lang w:val="zh-CN"/>
        </w:rPr>
      </w:pPr>
    </w:p>
    <w:p>
      <w:pPr>
        <w:spacing w:line="580" w:lineRule="exact"/>
        <w:jc w:val="center"/>
        <w:rPr>
          <w:rFonts w:hint="default" w:ascii="Times New Roman" w:hAnsi="Times New Roman" w:eastAsia="Times New Roman"/>
          <w:kern w:val="2"/>
          <w:sz w:val="44"/>
          <w:highlight w:val="white"/>
          <w:lang w:val="zh-CN"/>
        </w:rPr>
      </w:pPr>
    </w:p>
    <w:p>
      <w:pPr>
        <w:spacing w:line="580" w:lineRule="exact"/>
        <w:jc w:val="center"/>
        <w:rPr>
          <w:rFonts w:hint="default" w:ascii="Times New Roman" w:hAnsi="Times New Roman" w:eastAsia="Times New Roman"/>
          <w:kern w:val="2"/>
          <w:sz w:val="44"/>
          <w:highlight w:val="white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30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b/>
          <w:kern w:val="44"/>
          <w:sz w:val="44"/>
          <w:lang w:val="en-US"/>
        </w:rPr>
        <w:sectPr>
          <w:footerReference r:id="rId4" w:type="default"/>
          <w:pgSz w:w="12240" w:h="15840"/>
          <w:pgMar w:top="1440" w:right="1800" w:bottom="1440" w:left="1800" w:header="720" w:footer="720" w:gutter="0"/>
          <w:lnNumType w:countBy="0" w:distance="360"/>
          <w:pgNumType w:start="1"/>
          <w:cols w:space="720" w:num="1"/>
        </w:sect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b/>
          <w:kern w:val="44"/>
          <w:sz w:val="44"/>
          <w:lang w:val="en-US"/>
        </w:rPr>
      </w:pPr>
    </w:p>
    <w:p>
      <w:pPr>
        <w:spacing w:line="580" w:lineRule="exact"/>
        <w:jc w:val="center"/>
        <w:rPr>
          <w:rFonts w:hint="eastAsia" w:ascii="黑体" w:hAnsi="黑体" w:eastAsia="黑体"/>
          <w:kern w:val="2"/>
          <w:sz w:val="44"/>
          <w:lang w:val="zh-CN"/>
        </w:rPr>
      </w:pPr>
      <w:r>
        <w:rPr>
          <w:rFonts w:hint="eastAsia" w:ascii="方正小标宋简体" w:hAnsi="方正小标宋简体" w:eastAsia="方正小标宋简体"/>
          <w:b/>
          <w:kern w:val="44"/>
          <w:sz w:val="44"/>
          <w:lang w:val="en-US"/>
        </w:rPr>
        <w:t>第一部分  概 况</w:t>
      </w:r>
    </w:p>
    <w:p>
      <w:pPr>
        <w:spacing w:line="580" w:lineRule="exact"/>
        <w:ind w:firstLine="480"/>
        <w:jc w:val="both"/>
        <w:rPr>
          <w:rFonts w:hint="default" w:ascii="Times New Roman" w:hAnsi="Times New Roman" w:eastAsia="Times New Roman"/>
          <w:kern w:val="2"/>
          <w:sz w:val="24"/>
          <w:lang w:val="zh-CN"/>
        </w:rPr>
      </w:pPr>
    </w:p>
    <w:p>
      <w:pPr>
        <w:pStyle w:val="3"/>
        <w:keepNext/>
        <w:keepLines/>
        <w:spacing w:before="260" w:after="260" w:line="600" w:lineRule="exact"/>
        <w:ind w:firstLine="602"/>
        <w:rPr>
          <w:rFonts w:hint="eastAsia" w:ascii="黑体" w:hAnsi="黑体" w:eastAsia="黑体"/>
          <w:b/>
          <w:sz w:val="30"/>
          <w:lang w:val="en-US"/>
        </w:rPr>
      </w:pPr>
      <w:r>
        <w:rPr>
          <w:rFonts w:hint="eastAsia" w:ascii="黑体" w:hAnsi="黑体" w:eastAsia="黑体"/>
          <w:b/>
          <w:sz w:val="30"/>
          <w:lang w:val="en-US"/>
        </w:rPr>
        <w:t>一、主要职责</w:t>
      </w:r>
    </w:p>
    <w:p>
      <w:pPr>
        <w:spacing w:line="600" w:lineRule="exact"/>
        <w:ind w:firstLine="600" w:firstLineChars="200"/>
        <w:rPr>
          <w:rFonts w:hint="default" w:ascii="Calibri" w:hAnsi="Calibri" w:eastAsia="仿宋_GB2312"/>
          <w:sz w:val="30"/>
        </w:rPr>
      </w:pPr>
      <w:r>
        <w:rPr>
          <w:rFonts w:hint="eastAsia" w:ascii="Calibri" w:hAnsi="Calibri" w:eastAsia="仿宋_GB2312"/>
          <w:sz w:val="30"/>
        </w:rPr>
        <w:t>天津图书馆主要职责为保存借阅图书资料，促进社会经济发展。</w:t>
      </w:r>
    </w:p>
    <w:p>
      <w:pPr>
        <w:spacing w:line="600" w:lineRule="exact"/>
        <w:ind w:firstLine="600" w:firstLineChars="200"/>
        <w:rPr>
          <w:rFonts w:hint="default" w:ascii="Calibri" w:hAnsi="Calibri" w:eastAsia="仿宋_GB2312"/>
          <w:sz w:val="30"/>
        </w:rPr>
      </w:pPr>
      <w:r>
        <w:rPr>
          <w:rFonts w:hint="default" w:ascii="Times New Roman" w:hAnsi="Times New Roman" w:eastAsia="仿宋_GB2312" w:cs="Times New Roman"/>
          <w:sz w:val="30"/>
        </w:rPr>
        <w:t>1.</w:t>
      </w:r>
      <w:r>
        <w:rPr>
          <w:rFonts w:hint="eastAsia" w:ascii="Calibri" w:hAnsi="Calibri" w:eastAsia="仿宋_GB2312"/>
          <w:sz w:val="30"/>
        </w:rPr>
        <w:t>开展图书、文献、报刊、金石拓片、音像资料的采编与储藏。</w:t>
      </w:r>
    </w:p>
    <w:p>
      <w:pPr>
        <w:spacing w:line="600" w:lineRule="exact"/>
        <w:ind w:firstLine="600" w:firstLineChars="200"/>
        <w:rPr>
          <w:rFonts w:hint="default" w:ascii="Calibri" w:hAnsi="Calibri" w:eastAsia="仿宋_GB2312"/>
          <w:sz w:val="30"/>
        </w:rPr>
      </w:pPr>
      <w:r>
        <w:rPr>
          <w:rFonts w:hint="default" w:ascii="Times New Roman" w:hAnsi="Times New Roman" w:eastAsia="仿宋_GB2312" w:cs="Times New Roman"/>
          <w:sz w:val="30"/>
        </w:rPr>
        <w:t>2.</w:t>
      </w:r>
      <w:r>
        <w:rPr>
          <w:rFonts w:hint="eastAsia" w:ascii="Calibri" w:hAnsi="Calibri" w:eastAsia="仿宋_GB2312"/>
          <w:sz w:val="30"/>
        </w:rPr>
        <w:t>图书资料借阅。</w:t>
      </w:r>
    </w:p>
    <w:p>
      <w:pPr>
        <w:spacing w:line="600" w:lineRule="exact"/>
        <w:ind w:firstLine="600" w:firstLineChars="200"/>
        <w:rPr>
          <w:rFonts w:hint="default" w:ascii="Calibri" w:hAnsi="Calibri" w:eastAsia="仿宋_GB2312"/>
          <w:sz w:val="30"/>
        </w:rPr>
      </w:pPr>
      <w:r>
        <w:rPr>
          <w:rFonts w:hint="default" w:ascii="Times New Roman" w:hAnsi="Times New Roman" w:eastAsia="仿宋_GB2312" w:cs="Times New Roman"/>
          <w:sz w:val="30"/>
        </w:rPr>
        <w:t>3.</w:t>
      </w:r>
      <w:r>
        <w:rPr>
          <w:rFonts w:hint="eastAsia" w:ascii="Calibri" w:hAnsi="Calibri" w:eastAsia="仿宋_GB2312"/>
          <w:sz w:val="30"/>
        </w:rPr>
        <w:t>图书资料网络系统的维护、管理和文献数字化处理。</w:t>
      </w:r>
    </w:p>
    <w:p>
      <w:pPr>
        <w:spacing w:line="600" w:lineRule="exact"/>
        <w:ind w:firstLine="600" w:firstLineChars="200"/>
        <w:rPr>
          <w:rFonts w:hint="default" w:ascii="Calibri" w:hAnsi="Calibri" w:eastAsia="仿宋_GB2312"/>
          <w:sz w:val="30"/>
        </w:rPr>
      </w:pPr>
      <w:r>
        <w:rPr>
          <w:rFonts w:hint="default" w:ascii="Times New Roman" w:hAnsi="Times New Roman" w:eastAsia="仿宋_GB2312" w:cs="Times New Roman"/>
          <w:sz w:val="30"/>
        </w:rPr>
        <w:t>4.</w:t>
      </w:r>
      <w:r>
        <w:rPr>
          <w:rFonts w:hint="eastAsia" w:ascii="Calibri" w:hAnsi="Calibri" w:eastAsia="仿宋_GB2312"/>
          <w:sz w:val="30"/>
        </w:rPr>
        <w:t>古籍保护与修复。</w:t>
      </w:r>
    </w:p>
    <w:p>
      <w:pPr>
        <w:spacing w:line="600" w:lineRule="exact"/>
        <w:ind w:firstLine="600" w:firstLineChars="200"/>
        <w:rPr>
          <w:rFonts w:hint="default" w:ascii="Calibri" w:hAnsi="Calibri" w:eastAsia="仿宋_GB2312"/>
          <w:sz w:val="30"/>
        </w:rPr>
      </w:pPr>
      <w:r>
        <w:rPr>
          <w:rFonts w:hint="default" w:ascii="Times New Roman" w:hAnsi="Times New Roman" w:eastAsia="仿宋_GB2312" w:cs="Times New Roman"/>
          <w:sz w:val="30"/>
        </w:rPr>
        <w:t>5.</w:t>
      </w:r>
      <w:r>
        <w:rPr>
          <w:rFonts w:hint="eastAsia" w:ascii="Calibri" w:hAnsi="Calibri" w:eastAsia="仿宋_GB2312"/>
          <w:sz w:val="30"/>
        </w:rPr>
        <w:t>图书馆学研究。</w:t>
      </w:r>
    </w:p>
    <w:p>
      <w:pPr>
        <w:spacing w:line="600" w:lineRule="exact"/>
        <w:ind w:firstLine="600" w:firstLineChars="200"/>
        <w:rPr>
          <w:rFonts w:hint="default" w:ascii="Calibri" w:hAnsi="Calibri" w:eastAsia="仿宋_GB2312"/>
          <w:sz w:val="30"/>
        </w:rPr>
      </w:pPr>
      <w:r>
        <w:rPr>
          <w:rFonts w:hint="default" w:ascii="Times New Roman" w:hAnsi="Times New Roman" w:eastAsia="仿宋_GB2312" w:cs="Times New Roman"/>
          <w:sz w:val="30"/>
        </w:rPr>
        <w:t>6.</w:t>
      </w:r>
      <w:r>
        <w:rPr>
          <w:rFonts w:hint="eastAsia" w:ascii="Calibri" w:hAnsi="Calibri" w:eastAsia="仿宋_GB2312"/>
          <w:sz w:val="30"/>
        </w:rPr>
        <w:t>期刊出版。</w:t>
      </w:r>
    </w:p>
    <w:p>
      <w:pPr>
        <w:spacing w:line="600" w:lineRule="exact"/>
        <w:ind w:firstLine="600" w:firstLineChars="200"/>
        <w:rPr>
          <w:rFonts w:hint="default" w:ascii="Calibri" w:hAnsi="Calibri" w:eastAsia="仿宋_GB2312"/>
          <w:sz w:val="30"/>
        </w:rPr>
      </w:pPr>
      <w:r>
        <w:rPr>
          <w:rFonts w:hint="default" w:ascii="Times New Roman" w:hAnsi="Times New Roman" w:eastAsia="仿宋_GB2312" w:cs="Times New Roman"/>
          <w:sz w:val="30"/>
        </w:rPr>
        <w:t>7.</w:t>
      </w:r>
      <w:r>
        <w:rPr>
          <w:rFonts w:hint="eastAsia" w:ascii="Calibri" w:hAnsi="Calibri" w:eastAsia="仿宋_GB2312"/>
          <w:sz w:val="30"/>
        </w:rPr>
        <w:t>知识培训与社会教育及相关社会服务等工作。</w:t>
      </w:r>
    </w:p>
    <w:p>
      <w:pPr>
        <w:pStyle w:val="3"/>
        <w:keepNext/>
        <w:keepLines/>
        <w:spacing w:before="260" w:after="260" w:line="600" w:lineRule="exact"/>
        <w:ind w:firstLine="602"/>
        <w:rPr>
          <w:rFonts w:hint="eastAsia" w:ascii="黑体" w:hAnsi="黑体" w:eastAsia="黑体"/>
          <w:b/>
          <w:sz w:val="30"/>
          <w:lang w:val="en-US"/>
        </w:rPr>
      </w:pPr>
      <w:r>
        <w:rPr>
          <w:rFonts w:hint="eastAsia" w:ascii="黑体" w:hAnsi="黑体" w:eastAsia="黑体"/>
          <w:b/>
          <w:sz w:val="30"/>
          <w:lang w:val="en-US"/>
        </w:rPr>
        <w:t>二、机构设置情况</w:t>
      </w:r>
    </w:p>
    <w:p>
      <w:pPr>
        <w:spacing w:line="600" w:lineRule="exact"/>
        <w:ind w:firstLine="600"/>
        <w:jc w:val="both"/>
        <w:rPr>
          <w:rFonts w:hint="eastAsia" w:ascii="仿宋_GB2312" w:hAnsi="仿宋_GB2312" w:eastAsia="仿宋_GB2312"/>
          <w:kern w:val="2"/>
          <w:sz w:val="30"/>
          <w:lang w:val="en-US"/>
        </w:rPr>
      </w:pPr>
      <w:r>
        <w:rPr>
          <w:rFonts w:hint="eastAsia" w:ascii="Times New Roman" w:hAnsi="Times New Roman" w:eastAsia="仿宋_GB2312"/>
          <w:sz w:val="30"/>
        </w:rPr>
        <w:t>天津图书馆内设10个</w:t>
      </w:r>
      <w:r>
        <w:rPr>
          <w:rFonts w:hint="eastAsia" w:ascii="Times New Roman" w:hAnsi="Times New Roman" w:eastAsia="仿宋_GB2312"/>
          <w:sz w:val="30"/>
          <w:highlight w:val="none"/>
        </w:rPr>
        <w:t>职能</w:t>
      </w:r>
      <w:r>
        <w:rPr>
          <w:rFonts w:hint="eastAsia" w:ascii="Times New Roman" w:hAnsi="Times New Roman" w:eastAsia="仿宋_GB2312"/>
          <w:sz w:val="30"/>
          <w:highlight w:val="none"/>
          <w:lang w:eastAsia="zh-CN"/>
        </w:rPr>
        <w:t>部门</w:t>
      </w:r>
      <w:r>
        <w:rPr>
          <w:rFonts w:hint="eastAsia" w:ascii="Times New Roman" w:hAnsi="Times New Roman" w:eastAsia="仿宋_GB2312"/>
          <w:sz w:val="30"/>
          <w:highlight w:val="none"/>
        </w:rPr>
        <w:t>，分</w:t>
      </w:r>
      <w:r>
        <w:rPr>
          <w:rFonts w:hint="eastAsia" w:ascii="Times New Roman" w:hAnsi="Times New Roman" w:eastAsia="仿宋_GB2312"/>
          <w:sz w:val="30"/>
        </w:rPr>
        <w:t>别为综合办公室、党务人事部、安全保障部、采访编目部、古籍文献部、典藏咨询部、图书借阅部、报刊借阅部、阅读推广部、系统资源部。</w:t>
      </w:r>
    </w:p>
    <w:p>
      <w:pPr>
        <w:spacing w:line="600" w:lineRule="exact"/>
        <w:ind w:firstLine="600"/>
        <w:jc w:val="both"/>
        <w:rPr>
          <w:rFonts w:hint="eastAsia" w:ascii="黑体" w:hAnsi="黑体" w:eastAsia="黑体"/>
          <w:kern w:val="2"/>
          <w:sz w:val="44"/>
          <w:lang w:val="en-US"/>
        </w:rPr>
      </w:pPr>
    </w:p>
    <w:p>
      <w:pPr>
        <w:spacing w:line="600" w:lineRule="exact"/>
        <w:jc w:val="both"/>
        <w:rPr>
          <w:rFonts w:hint="eastAsia" w:ascii="黑体" w:hAnsi="黑体" w:eastAsia="黑体"/>
          <w:kern w:val="2"/>
          <w:sz w:val="44"/>
          <w:lang w:val="en-US"/>
        </w:rPr>
      </w:pPr>
    </w:p>
    <w:p>
      <w:pPr>
        <w:spacing w:line="360" w:lineRule="atLeast"/>
        <w:jc w:val="both"/>
        <w:rPr>
          <w:rFonts w:hint="eastAsia" w:ascii="黑体" w:hAnsi="黑体" w:eastAsia="黑体"/>
          <w:kern w:val="2"/>
          <w:sz w:val="30"/>
          <w:lang w:val="zh-CN"/>
        </w:rPr>
      </w:pPr>
    </w:p>
    <w:p>
      <w:pPr>
        <w:spacing w:line="360" w:lineRule="atLeast"/>
        <w:jc w:val="center"/>
        <w:rPr>
          <w:rFonts w:hint="eastAsia" w:ascii="黑体" w:hAnsi="黑体" w:eastAsia="黑体"/>
          <w:kern w:val="2"/>
          <w:sz w:val="30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b/>
          <w:kern w:val="2"/>
          <w:sz w:val="44"/>
          <w:lang w:val="en-US"/>
        </w:rPr>
      </w:pPr>
      <w:r>
        <w:rPr>
          <w:rFonts w:hint="eastAsia" w:ascii="方正小标宋简体" w:hAnsi="方正小标宋简体" w:eastAsia="方正小标宋简体"/>
          <w:b/>
          <w:kern w:val="44"/>
          <w:sz w:val="44"/>
          <w:lang w:val="zh-CN"/>
        </w:rPr>
        <w:t xml:space="preserve">第二部分 </w:t>
      </w:r>
      <w:r>
        <w:rPr>
          <w:rFonts w:hint="eastAsia" w:ascii="方正小标宋简体" w:hAnsi="方正小标宋简体" w:eastAsia="方正小标宋简体"/>
          <w:b/>
          <w:kern w:val="44"/>
          <w:sz w:val="44"/>
          <w:lang w:val="en-US"/>
        </w:rPr>
        <w:t xml:space="preserve"> 2024年单位预算情况说明</w:t>
      </w:r>
    </w:p>
    <w:p>
      <w:pPr>
        <w:spacing w:line="580" w:lineRule="exact"/>
        <w:ind w:firstLine="600"/>
        <w:jc w:val="center"/>
        <w:rPr>
          <w:rFonts w:hint="eastAsia" w:ascii="黑体" w:hAnsi="黑体" w:eastAsia="黑体"/>
          <w:kern w:val="2"/>
          <w:sz w:val="30"/>
          <w:lang w:val="en-US"/>
        </w:rPr>
      </w:pPr>
    </w:p>
    <w:p>
      <w:pPr>
        <w:pStyle w:val="3"/>
        <w:keepNext/>
        <w:keepLines/>
        <w:spacing w:before="260" w:after="260" w:line="600" w:lineRule="exact"/>
        <w:ind w:firstLine="600"/>
        <w:rPr>
          <w:rFonts w:hint="eastAsia" w:ascii="黑体" w:hAnsi="黑体" w:eastAsia="黑体"/>
          <w:sz w:val="30"/>
          <w:lang w:val="en-US"/>
        </w:rPr>
      </w:pPr>
      <w:r>
        <w:rPr>
          <w:rFonts w:hint="eastAsia" w:ascii="黑体" w:hAnsi="黑体" w:eastAsia="黑体"/>
          <w:sz w:val="30"/>
          <w:lang w:val="en-US"/>
        </w:rPr>
        <w:t>一、关于收支总体情况表的说明</w:t>
      </w:r>
    </w:p>
    <w:p>
      <w:pPr>
        <w:spacing w:line="580" w:lineRule="exact"/>
        <w:ind w:firstLine="600"/>
        <w:jc w:val="both"/>
        <w:rPr>
          <w:rFonts w:hint="eastAsia" w:ascii="仿宋" w:hAnsi="仿宋" w:eastAsia="仿宋"/>
          <w:kern w:val="2"/>
          <w:sz w:val="30"/>
          <w:lang w:val="zh-CN"/>
        </w:rPr>
      </w:pPr>
      <w:r>
        <w:rPr>
          <w:rFonts w:hint="eastAsia" w:ascii="仿宋_GB2312" w:hAnsi="仿宋_GB2312" w:eastAsia="仿宋_GB2312"/>
          <w:kern w:val="2"/>
          <w:sz w:val="30"/>
          <w:lang w:val="zh-CN"/>
        </w:rPr>
        <w:t>按照综合预算的原则，天津图书馆</w:t>
      </w:r>
      <w:r>
        <w:rPr>
          <w:rFonts w:hint="eastAsia" w:ascii="仿宋_GB2312" w:hAnsi="仿宋_GB2312" w:eastAsia="仿宋_GB2312"/>
          <w:kern w:val="2"/>
          <w:sz w:val="30"/>
          <w:lang w:val="en-US"/>
        </w:rPr>
        <w:t>所有收入和支出均纳入单位预算管理。收入包括：一般公共预算拨款收入</w:t>
      </w:r>
      <w:r>
        <w:rPr>
          <w:rFonts w:hint="default" w:ascii="Times New Roman" w:hAnsi="Times New Roman" w:eastAsia="仿宋_GB2312" w:cs="Times New Roman"/>
          <w:kern w:val="2"/>
          <w:sz w:val="30"/>
          <w:lang w:val="zh-CN"/>
        </w:rPr>
        <w:t>18,388.9</w:t>
      </w:r>
      <w:r>
        <w:rPr>
          <w:rFonts w:hint="eastAsia" w:ascii="仿宋_GB2312" w:hAnsi="仿宋_GB2312" w:eastAsia="仿宋_GB2312"/>
          <w:kern w:val="2"/>
          <w:sz w:val="30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lang w:val="en-US"/>
        </w:rPr>
        <w:t>、政府性基金预算拨款收入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0</w:t>
      </w:r>
      <w:r>
        <w:rPr>
          <w:rFonts w:hint="eastAsia" w:ascii="仿宋_GB2312" w:hAnsi="仿宋_GB2312" w:eastAsia="仿宋_GB2312"/>
          <w:kern w:val="2"/>
          <w:sz w:val="30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lang w:val="en-US"/>
        </w:rPr>
        <w:t>、国有资本经营预算拨款收入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0</w:t>
      </w:r>
      <w:r>
        <w:rPr>
          <w:rFonts w:hint="eastAsia" w:ascii="仿宋_GB2312" w:hAnsi="仿宋_GB2312" w:eastAsia="仿宋_GB2312"/>
          <w:kern w:val="2"/>
          <w:sz w:val="30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lang w:val="en-US"/>
        </w:rPr>
        <w:t>、财政专户管理资金收入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0</w:t>
      </w:r>
      <w:r>
        <w:rPr>
          <w:rFonts w:hint="eastAsia" w:ascii="仿宋_GB2312" w:hAnsi="仿宋_GB2312" w:eastAsia="仿宋_GB2312"/>
          <w:kern w:val="2"/>
          <w:sz w:val="30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lang w:val="en-US"/>
        </w:rPr>
        <w:t>、事业收入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636.5</w:t>
      </w:r>
      <w:r>
        <w:rPr>
          <w:rFonts w:hint="eastAsia" w:ascii="仿宋_GB2312" w:hAnsi="仿宋_GB2312" w:eastAsia="仿宋_GB2312"/>
          <w:kern w:val="2"/>
          <w:sz w:val="30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lang w:val="en-US"/>
        </w:rPr>
        <w:t>、事业单位经营收入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0</w:t>
      </w:r>
      <w:r>
        <w:rPr>
          <w:rFonts w:hint="eastAsia" w:ascii="仿宋_GB2312" w:hAnsi="仿宋_GB2312" w:eastAsia="仿宋_GB2312"/>
          <w:kern w:val="2"/>
          <w:sz w:val="30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lang w:val="en-US"/>
        </w:rPr>
        <w:t>、上级补助收入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0</w:t>
      </w:r>
      <w:r>
        <w:rPr>
          <w:rFonts w:hint="eastAsia" w:ascii="仿宋_GB2312" w:hAnsi="仿宋_GB2312" w:eastAsia="仿宋_GB2312"/>
          <w:kern w:val="2"/>
          <w:sz w:val="30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lang w:val="en-US"/>
        </w:rPr>
        <w:t>、附属单位上缴收入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0</w:t>
      </w:r>
      <w:r>
        <w:rPr>
          <w:rFonts w:hint="eastAsia" w:ascii="仿宋_GB2312" w:hAnsi="仿宋_GB2312" w:eastAsia="仿宋_GB2312"/>
          <w:kern w:val="2"/>
          <w:sz w:val="30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lang w:val="en-US"/>
        </w:rPr>
        <w:t>、其他收入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223.5</w:t>
      </w:r>
      <w:r>
        <w:rPr>
          <w:rFonts w:hint="eastAsia" w:ascii="仿宋_GB2312" w:hAnsi="仿宋_GB2312" w:eastAsia="仿宋_GB2312"/>
          <w:kern w:val="2"/>
          <w:sz w:val="30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lang w:val="en-US"/>
        </w:rPr>
        <w:t>、上年结转结余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1,179.9</w:t>
      </w:r>
      <w:r>
        <w:rPr>
          <w:rFonts w:hint="eastAsia" w:ascii="仿宋_GB2312" w:hAnsi="仿宋_GB2312" w:eastAsia="仿宋_GB2312"/>
          <w:kern w:val="2"/>
          <w:sz w:val="30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lang w:val="en-US"/>
        </w:rPr>
        <w:t>；支出包括：教育支出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0</w:t>
      </w:r>
      <w:r>
        <w:rPr>
          <w:rFonts w:hint="eastAsia" w:ascii="仿宋_GB2312" w:hAnsi="仿宋_GB2312" w:eastAsia="仿宋_GB2312"/>
          <w:kern w:val="2"/>
          <w:sz w:val="30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lang w:val="en-US"/>
        </w:rPr>
        <w:t>、文化旅游体育与传媒支出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18,972.4</w:t>
      </w:r>
      <w:r>
        <w:rPr>
          <w:rFonts w:hint="eastAsia" w:ascii="仿宋_GB2312" w:hAnsi="仿宋_GB2312" w:eastAsia="仿宋_GB2312"/>
          <w:kern w:val="2"/>
          <w:sz w:val="30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lang w:val="en-US"/>
        </w:rPr>
        <w:t>、社会保障和就业支出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729</w:t>
      </w:r>
      <w:r>
        <w:rPr>
          <w:rFonts w:hint="eastAsia" w:ascii="仿宋_GB2312" w:hAnsi="仿宋_GB2312" w:eastAsia="仿宋_GB2312"/>
          <w:kern w:val="2"/>
          <w:sz w:val="30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lang w:val="en-US"/>
        </w:rPr>
        <w:t>、卫生健康支出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414.2</w:t>
      </w:r>
      <w:r>
        <w:rPr>
          <w:rFonts w:hint="eastAsia" w:ascii="仿宋_GB2312" w:hAnsi="仿宋_GB2312" w:eastAsia="仿宋_GB2312"/>
          <w:kern w:val="2"/>
          <w:sz w:val="30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lang w:val="en-US"/>
        </w:rPr>
        <w:t>、债务付息支出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0</w:t>
      </w:r>
      <w:r>
        <w:rPr>
          <w:rFonts w:hint="eastAsia" w:ascii="仿宋_GB2312" w:hAnsi="仿宋_GB2312" w:eastAsia="仿宋_GB2312"/>
          <w:kern w:val="2"/>
          <w:sz w:val="30"/>
          <w:lang w:val="zh-CN"/>
        </w:rPr>
        <w:t>万元，年终结转结余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313.2</w:t>
      </w:r>
      <w:r>
        <w:rPr>
          <w:rFonts w:hint="eastAsia" w:ascii="仿宋_GB2312" w:hAnsi="仿宋_GB2312" w:eastAsia="仿宋_GB2312"/>
          <w:kern w:val="2"/>
          <w:sz w:val="30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lang w:val="en-US"/>
        </w:rPr>
        <w:t>。</w:t>
      </w:r>
      <w:r>
        <w:rPr>
          <w:rFonts w:hint="eastAsia" w:ascii="仿宋_GB2312" w:hAnsi="仿宋_GB2312" w:eastAsia="仿宋_GB2312"/>
          <w:kern w:val="2"/>
          <w:sz w:val="30"/>
          <w:lang w:val="zh-CN"/>
        </w:rPr>
        <w:t>天津图书馆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2024</w:t>
      </w:r>
      <w:r>
        <w:rPr>
          <w:rFonts w:hint="eastAsia" w:ascii="仿宋_GB2312" w:hAnsi="仿宋_GB2312" w:eastAsia="仿宋_GB2312"/>
          <w:kern w:val="2"/>
          <w:sz w:val="30"/>
          <w:lang w:val="en-US"/>
        </w:rPr>
        <w:t>年收支总预算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20,428.8</w:t>
      </w:r>
      <w:r>
        <w:rPr>
          <w:rFonts w:hint="eastAsia" w:ascii="仿宋_GB2312" w:hAnsi="仿宋_GB2312" w:eastAsia="仿宋_GB2312"/>
          <w:kern w:val="2"/>
          <w:sz w:val="30"/>
          <w:lang w:val="zh-CN"/>
        </w:rPr>
        <w:t>万元。</w:t>
      </w:r>
    </w:p>
    <w:p>
      <w:pPr>
        <w:pStyle w:val="3"/>
        <w:keepNext/>
        <w:keepLines/>
        <w:spacing w:before="260" w:after="260" w:line="600" w:lineRule="exact"/>
        <w:ind w:firstLine="600"/>
        <w:rPr>
          <w:rFonts w:hint="eastAsia" w:ascii="黑体" w:hAnsi="黑体" w:eastAsia="黑体"/>
          <w:sz w:val="30"/>
          <w:lang w:val="en-US"/>
        </w:rPr>
      </w:pPr>
      <w:r>
        <w:rPr>
          <w:rFonts w:hint="eastAsia" w:ascii="黑体" w:hAnsi="黑体" w:eastAsia="黑体"/>
          <w:sz w:val="30"/>
          <w:lang w:val="en-US"/>
        </w:rPr>
        <w:t>二、关于收入总体情况表的说明</w:t>
      </w:r>
    </w:p>
    <w:p>
      <w:pPr>
        <w:spacing w:line="580" w:lineRule="exact"/>
        <w:ind w:firstLine="600"/>
        <w:jc w:val="both"/>
        <w:rPr>
          <w:rFonts w:hint="default" w:ascii="仿宋_GB2312" w:hAnsi="仿宋_GB2312" w:eastAsia="仿宋_GB2312"/>
          <w:kern w:val="2"/>
          <w:sz w:val="30"/>
          <w:szCs w:val="22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天津图书馆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2024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年单位预算收入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20,428.8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，与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2023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年预算相比增加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460.9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万元，主要原因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是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 w:eastAsia="zh-CN"/>
        </w:rPr>
        <w:t>上年结转结余增加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。其中：上年结转结余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1,179.9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，占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5.8</w:t>
      </w:r>
      <w:r>
        <w:rPr>
          <w:rFonts w:hint="default" w:ascii="Times New Roman" w:hAnsi="Times New Roman" w:eastAsia="仿宋_GB2312" w:cs="Times New Roman"/>
          <w:kern w:val="2"/>
          <w:sz w:val="30"/>
          <w:szCs w:val="22"/>
          <w:lang w:val="zh-CN"/>
        </w:rPr>
        <w:t>%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；一般公共预算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18,388.9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，占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90.0</w:t>
      </w:r>
      <w:r>
        <w:rPr>
          <w:rFonts w:hint="default" w:ascii="Times New Roman" w:hAnsi="Times New Roman" w:eastAsia="仿宋_GB2312" w:cs="Times New Roman"/>
          <w:kern w:val="2"/>
          <w:sz w:val="30"/>
          <w:szCs w:val="22"/>
          <w:lang w:val="zh-CN"/>
        </w:rPr>
        <w:t>%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；政府性基金预算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0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，占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0.0</w:t>
      </w:r>
      <w:r>
        <w:rPr>
          <w:rFonts w:hint="default" w:ascii="Times New Roman" w:hAnsi="Times New Roman" w:eastAsia="仿宋_GB2312" w:cs="Times New Roman"/>
          <w:kern w:val="2"/>
          <w:sz w:val="30"/>
          <w:szCs w:val="22"/>
          <w:lang w:val="zh-CN"/>
        </w:rPr>
        <w:t>%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；国有资本经营预算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0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，占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0.0</w:t>
      </w:r>
      <w:r>
        <w:rPr>
          <w:rFonts w:hint="default" w:ascii="Times New Roman" w:hAnsi="Times New Roman" w:eastAsia="仿宋_GB2312" w:cs="Times New Roman"/>
          <w:kern w:val="2"/>
          <w:sz w:val="30"/>
          <w:szCs w:val="22"/>
          <w:lang w:val="zh-CN"/>
        </w:rPr>
        <w:t>%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；财政专户管理资金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0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，占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0.0</w:t>
      </w:r>
      <w:r>
        <w:rPr>
          <w:rFonts w:hint="default" w:ascii="Times New Roman" w:hAnsi="Times New Roman" w:eastAsia="仿宋_GB2312" w:cs="Times New Roman"/>
          <w:kern w:val="2"/>
          <w:sz w:val="30"/>
          <w:szCs w:val="22"/>
          <w:lang w:val="zh-CN"/>
        </w:rPr>
        <w:t>%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；事业收入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636.5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，占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3.1</w:t>
      </w:r>
      <w:r>
        <w:rPr>
          <w:rFonts w:hint="default" w:ascii="Times New Roman" w:hAnsi="Times New Roman" w:eastAsia="仿宋_GB2312" w:cs="Times New Roman"/>
          <w:kern w:val="2"/>
          <w:sz w:val="30"/>
          <w:szCs w:val="22"/>
          <w:lang w:val="zh-CN"/>
        </w:rPr>
        <w:t>%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；事业单位经营收入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0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，占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0.0</w:t>
      </w:r>
      <w:r>
        <w:rPr>
          <w:rFonts w:hint="default" w:ascii="Times New Roman" w:hAnsi="Times New Roman" w:eastAsia="仿宋_GB2312" w:cs="Times New Roman"/>
          <w:kern w:val="2"/>
          <w:sz w:val="30"/>
          <w:szCs w:val="22"/>
          <w:lang w:val="zh-CN"/>
        </w:rPr>
        <w:t>%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；上级补助收入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0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，占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0.0</w:t>
      </w:r>
      <w:r>
        <w:rPr>
          <w:rFonts w:hint="default" w:ascii="Times New Roman" w:hAnsi="Times New Roman" w:eastAsia="仿宋_GB2312" w:cs="Times New Roman"/>
          <w:kern w:val="2"/>
          <w:sz w:val="30"/>
          <w:szCs w:val="22"/>
          <w:lang w:val="zh-CN"/>
        </w:rPr>
        <w:t>%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；附属单位上缴收入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0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，占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0.0</w:t>
      </w:r>
      <w:r>
        <w:rPr>
          <w:rFonts w:hint="default" w:ascii="Times New Roman" w:hAnsi="Times New Roman" w:eastAsia="仿宋_GB2312" w:cs="Times New Roman"/>
          <w:kern w:val="2"/>
          <w:sz w:val="30"/>
          <w:szCs w:val="22"/>
          <w:lang w:val="zh-CN"/>
        </w:rPr>
        <w:t>%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；其他收入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223.5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，占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1.1</w:t>
      </w:r>
      <w:r>
        <w:rPr>
          <w:rFonts w:hint="default" w:ascii="Times New Roman" w:hAnsi="Times New Roman" w:eastAsia="仿宋_GB2312" w:cs="Times New Roman"/>
          <w:kern w:val="2"/>
          <w:sz w:val="30"/>
          <w:szCs w:val="22"/>
          <w:lang w:val="zh-CN"/>
        </w:rPr>
        <w:t>%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。</w:t>
      </w:r>
    </w:p>
    <w:p>
      <w:pPr>
        <w:pStyle w:val="3"/>
        <w:keepNext/>
        <w:keepLines/>
        <w:spacing w:before="260" w:after="260" w:line="600" w:lineRule="exact"/>
        <w:ind w:firstLine="600"/>
        <w:rPr>
          <w:rFonts w:hint="eastAsia" w:ascii="黑体" w:hAnsi="黑体" w:eastAsia="黑体"/>
          <w:sz w:val="30"/>
          <w:lang w:val="en-US"/>
        </w:rPr>
      </w:pPr>
      <w:r>
        <w:rPr>
          <w:rFonts w:hint="eastAsia" w:ascii="黑体" w:hAnsi="黑体" w:eastAsia="黑体"/>
          <w:sz w:val="30"/>
          <w:lang w:val="en-US"/>
        </w:rPr>
        <w:t>三、关于支出总体情况表的说明</w:t>
      </w:r>
    </w:p>
    <w:p>
      <w:pPr>
        <w:spacing w:line="580" w:lineRule="exact"/>
        <w:ind w:firstLine="600"/>
        <w:jc w:val="both"/>
        <w:rPr>
          <w:rFonts w:hint="default" w:ascii="仿宋_GB2312" w:hAnsi="仿宋_GB2312" w:eastAsia="仿宋_GB2312"/>
          <w:kern w:val="2"/>
          <w:sz w:val="30"/>
          <w:szCs w:val="22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天津图书馆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2024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年支出预算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20,115.6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，与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2023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年预算相比增加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628.4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万元，主要原因是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上年结转结余收入增加后本年项目资金支出相应增加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。其中：基本支出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9,073.8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万元，占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45.1</w:t>
      </w:r>
      <w:r>
        <w:rPr>
          <w:rFonts w:hint="default" w:ascii="Times New Roman" w:hAnsi="Times New Roman" w:eastAsia="仿宋_GB2312" w:cs="Times New Roman"/>
          <w:kern w:val="2"/>
          <w:sz w:val="30"/>
          <w:szCs w:val="22"/>
          <w:lang w:val="zh-CN"/>
        </w:rPr>
        <w:t>%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；项目支出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11,041.8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万元，占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54.9</w:t>
      </w:r>
      <w:r>
        <w:rPr>
          <w:rFonts w:hint="default" w:ascii="Times New Roman" w:hAnsi="Times New Roman" w:eastAsia="仿宋_GB2312" w:cs="Times New Roman"/>
          <w:kern w:val="2"/>
          <w:sz w:val="30"/>
          <w:szCs w:val="22"/>
          <w:lang w:val="zh-CN"/>
        </w:rPr>
        <w:t>%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；事业单位经营支出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0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万元，占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0.0</w:t>
      </w:r>
      <w:r>
        <w:rPr>
          <w:rFonts w:hint="default" w:ascii="Times New Roman" w:hAnsi="Times New Roman" w:eastAsia="仿宋_GB2312" w:cs="Times New Roman"/>
          <w:kern w:val="2"/>
          <w:sz w:val="30"/>
          <w:szCs w:val="22"/>
          <w:lang w:val="zh-CN"/>
        </w:rPr>
        <w:t>%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；上缴上级支出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0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万元，占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0.0</w:t>
      </w:r>
      <w:r>
        <w:rPr>
          <w:rFonts w:hint="default" w:ascii="Times New Roman" w:hAnsi="Times New Roman" w:eastAsia="仿宋_GB2312" w:cs="Times New Roman"/>
          <w:kern w:val="2"/>
          <w:sz w:val="30"/>
          <w:szCs w:val="22"/>
          <w:lang w:val="zh-CN"/>
        </w:rPr>
        <w:t>%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；对附属单位补助支出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0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万元，占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0.0</w:t>
      </w:r>
      <w:r>
        <w:rPr>
          <w:rFonts w:hint="default" w:ascii="Times New Roman" w:hAnsi="Times New Roman" w:eastAsia="仿宋_GB2312" w:cs="Times New Roman"/>
          <w:kern w:val="2"/>
          <w:sz w:val="30"/>
          <w:szCs w:val="22"/>
          <w:lang w:val="zh-CN"/>
        </w:rPr>
        <w:t>%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。</w:t>
      </w:r>
    </w:p>
    <w:p>
      <w:pPr>
        <w:pStyle w:val="3"/>
        <w:keepNext/>
        <w:keepLines/>
        <w:spacing w:before="260" w:after="260" w:line="600" w:lineRule="exact"/>
        <w:ind w:firstLine="600"/>
        <w:rPr>
          <w:rFonts w:hint="eastAsia" w:ascii="黑体" w:hAnsi="黑体" w:eastAsia="黑体"/>
          <w:sz w:val="30"/>
          <w:highlight w:val="none"/>
          <w:lang w:val="en-US"/>
        </w:rPr>
      </w:pPr>
      <w:r>
        <w:rPr>
          <w:rFonts w:hint="eastAsia" w:ascii="黑体" w:hAnsi="黑体" w:eastAsia="黑体"/>
          <w:sz w:val="30"/>
          <w:highlight w:val="none"/>
          <w:lang w:val="en-US"/>
        </w:rPr>
        <w:t>四、关于财政拨款收支总体情况表的说明</w:t>
      </w:r>
    </w:p>
    <w:p>
      <w:pPr>
        <w:spacing w:line="580" w:lineRule="exact"/>
        <w:ind w:firstLine="600"/>
        <w:jc w:val="both"/>
        <w:rPr>
          <w:rFonts w:hint="default" w:ascii="仿宋_GB2312" w:hAnsi="仿宋_GB2312" w:eastAsia="仿宋_GB2312"/>
          <w:kern w:val="2"/>
          <w:sz w:val="30"/>
          <w:szCs w:val="22"/>
          <w:lang w:val="zh-CN"/>
        </w:rPr>
      </w:pP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天津图书馆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2024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年财政拨款收入预算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19,034.8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，与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2023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年预算相比增加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443.9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万元，主要原因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是上年结转资金增加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。收入包括：一般公共预算拨款收入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18,388.9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、政府性基金预算拨款收入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0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、国有资本经营预算拨款收入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0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、上年财政结转结余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645.9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。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2024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年财政拨款支出预算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19,034.8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，与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2023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年预算相比增加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443.9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万元，主要原因是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上年结转资金收入增加后本年支出相应增加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。支出包括：教育支出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0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、文化旅游体育与传媒支出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17,891.6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、社会保障和就业支出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729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、卫生健康支出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414.2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、债务付息支出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0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。</w:t>
      </w:r>
    </w:p>
    <w:p>
      <w:pPr>
        <w:pStyle w:val="3"/>
        <w:keepNext/>
        <w:keepLines/>
        <w:spacing w:before="260" w:after="260" w:line="600" w:lineRule="exact"/>
        <w:ind w:firstLine="600"/>
        <w:rPr>
          <w:rFonts w:hint="eastAsia" w:ascii="黑体" w:hAnsi="黑体" w:eastAsia="黑体"/>
          <w:sz w:val="30"/>
          <w:lang w:val="en-US"/>
        </w:rPr>
      </w:pPr>
      <w:r>
        <w:rPr>
          <w:rFonts w:hint="eastAsia" w:ascii="黑体" w:hAnsi="黑体" w:eastAsia="黑体"/>
          <w:sz w:val="30"/>
          <w:lang w:val="en-US"/>
        </w:rPr>
        <w:t>五、关于一般公共预算支出情况表的说明</w:t>
      </w:r>
    </w:p>
    <w:p>
      <w:pPr>
        <w:pStyle w:val="3"/>
        <w:keepNext/>
        <w:keepLines/>
        <w:spacing w:before="260" w:after="260" w:line="600" w:lineRule="exact"/>
        <w:ind w:firstLine="600"/>
        <w:rPr>
          <w:rFonts w:hint="eastAsia" w:ascii="楷体" w:hAnsi="楷体" w:eastAsia="楷体"/>
          <w:b/>
          <w:kern w:val="2"/>
          <w:sz w:val="30"/>
          <w:lang w:val="en-US"/>
        </w:rPr>
      </w:pPr>
      <w:r>
        <w:rPr>
          <w:rFonts w:hint="eastAsia" w:ascii="楷体" w:hAnsi="楷体" w:eastAsia="楷体"/>
          <w:b/>
          <w:kern w:val="2"/>
          <w:sz w:val="30"/>
          <w:lang w:val="en-US"/>
        </w:rPr>
        <w:t>（一）总体情况。</w:t>
      </w:r>
    </w:p>
    <w:p>
      <w:pPr>
        <w:spacing w:line="580" w:lineRule="exact"/>
        <w:ind w:firstLine="600"/>
        <w:jc w:val="both"/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天津图书馆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2024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年一般公共预算支出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19,034.8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，与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2023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年预算相比增加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443.9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万元，主要原因是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一般公共预算财政拨款上年结转收入增加后支出相应增加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。</w:t>
      </w:r>
    </w:p>
    <w:p>
      <w:pPr>
        <w:spacing w:line="600" w:lineRule="exact"/>
        <w:ind w:firstLine="600"/>
        <w:jc w:val="both"/>
        <w:rPr>
          <w:rFonts w:hint="eastAsia" w:ascii="楷体" w:hAnsi="楷体" w:eastAsia="楷体"/>
          <w:b/>
          <w:kern w:val="2"/>
          <w:sz w:val="30"/>
          <w:highlight w:val="none"/>
          <w:lang w:val="en-US"/>
        </w:rPr>
      </w:pPr>
      <w:r>
        <w:rPr>
          <w:rFonts w:hint="eastAsia" w:ascii="楷体" w:hAnsi="楷体" w:eastAsia="楷体"/>
          <w:b/>
          <w:kern w:val="2"/>
          <w:sz w:val="30"/>
          <w:highlight w:val="none"/>
          <w:lang w:val="en-US"/>
        </w:rPr>
        <w:t>（二）具体情况。</w:t>
      </w:r>
    </w:p>
    <w:p>
      <w:pPr>
        <w:spacing w:line="580" w:lineRule="exact"/>
        <w:ind w:firstLine="600"/>
        <w:jc w:val="both"/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</w:pPr>
      <w:r>
        <w:rPr>
          <w:rFonts w:hint="eastAsia" w:ascii="仿宋" w:hAnsi="仿宋" w:eastAsia="仿宋"/>
          <w:sz w:val="30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sz w:val="30"/>
          <w:highlight w:val="none"/>
          <w:lang w:val="zh-CN"/>
        </w:rPr>
        <w:t>、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“文化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旅游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体育与传媒支出”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17,891.6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万元，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与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2023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年预算相比增加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508.2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，主要原因是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一般公共预算财政拨款上年结转收入增加后支出相应增加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其中：</w:t>
      </w:r>
    </w:p>
    <w:p>
      <w:pPr>
        <w:spacing w:line="580" w:lineRule="exact"/>
        <w:ind w:firstLine="600"/>
        <w:jc w:val="both"/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</w:pP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“文化和旅游”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17,527.7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万元，包括: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“图书馆”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16,225.1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万元，主要用于：单位基本支出、图书购置、场馆运行、社会化用工及信息化提升等项目支出；“群众文化”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1,302.6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万元，主要用于：全国智慧图书馆体系建设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、安防维修提升、防排烟系统改造等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项目支出；</w:t>
      </w:r>
    </w:p>
    <w:p>
      <w:pPr>
        <w:spacing w:line="580" w:lineRule="exact"/>
        <w:ind w:firstLine="600"/>
        <w:jc w:val="both"/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</w:pP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“文物”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363.9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包括: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“文物保护”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363.9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万元，主要用于：天津图书馆馆藏可移动文物预防性保护项目支出；</w:t>
      </w:r>
    </w:p>
    <w:p>
      <w:pPr>
        <w:spacing w:line="580" w:lineRule="exact"/>
        <w:ind w:firstLine="600"/>
        <w:jc w:val="both"/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</w:pPr>
      <w:r>
        <w:rPr>
          <w:rFonts w:hint="eastAsia" w:ascii="仿宋" w:hAnsi="仿宋" w:eastAsia="仿宋"/>
          <w:sz w:val="30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sz w:val="30"/>
          <w:highlight w:val="none"/>
          <w:lang w:val="zh-CN"/>
        </w:rPr>
        <w:t>、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“社会保障和就业支出”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729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万元，与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2023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年预算相比减少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34.4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，主要原因是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单位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预算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中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人员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减少等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信息变化导致社会保障和就业支出有所减少，其中：</w:t>
      </w:r>
    </w:p>
    <w:p>
      <w:pPr>
        <w:spacing w:line="580" w:lineRule="exact"/>
        <w:ind w:firstLine="600"/>
        <w:jc w:val="both"/>
        <w:rPr>
          <w:rFonts w:hint="eastAsia" w:ascii="仿宋_GB2312" w:hAnsi="仿宋_GB2312" w:eastAsia="仿宋_GB2312"/>
          <w:kern w:val="2"/>
          <w:sz w:val="30"/>
          <w:szCs w:val="22"/>
          <w:highlight w:val="none"/>
          <w:lang w:val="zh-CN"/>
        </w:rPr>
      </w:pP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“行政事业单位养老支出”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729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包括: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“机关事业单位基本养老保险缴费支出”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486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万元，主要用</w:t>
      </w:r>
      <w:r>
        <w:rPr>
          <w:rFonts w:hint="eastAsia" w:ascii="仿宋_GB2312" w:hAnsi="仿宋_GB2312" w:eastAsia="仿宋_GB2312"/>
          <w:kern w:val="2"/>
          <w:sz w:val="30"/>
          <w:szCs w:val="22"/>
          <w:highlight w:val="none"/>
          <w:lang w:val="en-US"/>
        </w:rPr>
        <w:t>于：缴纳基本养老保险；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“机关事业单位职业年金缴费支出”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243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万元，主要用于：</w:t>
      </w:r>
      <w:r>
        <w:rPr>
          <w:rFonts w:hint="eastAsia" w:ascii="仿宋_GB2312" w:hAnsi="仿宋_GB2312" w:eastAsia="仿宋_GB2312"/>
          <w:kern w:val="2"/>
          <w:sz w:val="30"/>
          <w:szCs w:val="22"/>
          <w:highlight w:val="none"/>
          <w:lang w:val="zh-CN"/>
        </w:rPr>
        <w:t>缴纳职业年金</w:t>
      </w:r>
      <w:r>
        <w:rPr>
          <w:rFonts w:hint="eastAsia" w:ascii="仿宋_GB2312" w:hAnsi="仿宋_GB2312" w:eastAsia="仿宋_GB2312"/>
          <w:kern w:val="2"/>
          <w:sz w:val="30"/>
          <w:szCs w:val="22"/>
          <w:highlight w:val="none"/>
          <w:lang w:val="en-US"/>
        </w:rPr>
        <w:t>；</w:t>
      </w:r>
    </w:p>
    <w:p>
      <w:pPr>
        <w:spacing w:line="580" w:lineRule="exact"/>
        <w:ind w:firstLine="600"/>
        <w:jc w:val="both"/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</w:pPr>
      <w:r>
        <w:rPr>
          <w:rFonts w:hint="eastAsia" w:ascii="仿宋" w:hAnsi="仿宋" w:eastAsia="仿宋"/>
          <w:sz w:val="30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0"/>
          <w:highlight w:val="none"/>
          <w:lang w:val="zh-CN"/>
        </w:rPr>
        <w:t>、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“卫生健康支出”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414.2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万元，与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2023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年预算相比减少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29.9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，主要原因是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单位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预算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中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人员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减少等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信息变化导致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行政事业单位医疗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支出有所减少，其中：</w:t>
      </w:r>
    </w:p>
    <w:p>
      <w:pPr>
        <w:spacing w:line="580" w:lineRule="exact"/>
        <w:ind w:firstLine="600"/>
        <w:jc w:val="both"/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</w:pP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“行政事业单位医疗”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414.2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包括: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“事业单位医疗”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305.8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万元，主要用于：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单位医疗保险缴费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；“其他行政事业单位医疗支出”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108.4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万元，主要用于：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单位人员医疗补助支出。</w:t>
      </w:r>
    </w:p>
    <w:p>
      <w:pPr>
        <w:pStyle w:val="3"/>
        <w:keepNext/>
        <w:keepLines/>
        <w:spacing w:before="260" w:after="260" w:line="600" w:lineRule="exact"/>
        <w:ind w:firstLine="600"/>
        <w:rPr>
          <w:rFonts w:hint="eastAsia" w:ascii="黑体" w:hAnsi="黑体" w:eastAsia="黑体"/>
          <w:sz w:val="30"/>
          <w:highlight w:val="none"/>
          <w:lang w:val="en-US"/>
        </w:rPr>
      </w:pPr>
      <w:r>
        <w:rPr>
          <w:rFonts w:hint="eastAsia" w:ascii="黑体" w:hAnsi="黑体" w:eastAsia="黑体"/>
          <w:sz w:val="30"/>
          <w:highlight w:val="none"/>
          <w:lang w:val="en-US"/>
        </w:rPr>
        <w:t>六、关于一般公共预算基本支出情况表的说明</w:t>
      </w:r>
    </w:p>
    <w:p>
      <w:pPr>
        <w:spacing w:line="580" w:lineRule="exact"/>
        <w:ind w:firstLine="600"/>
        <w:jc w:val="both"/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天津图书馆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一般公共预算基本支出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8,073.8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，与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2023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年预算相比减少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265.2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万元，主要原因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是本年压减公用经费拨款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。其中：</w:t>
      </w:r>
    </w:p>
    <w:p>
      <w:pPr>
        <w:spacing w:line="580" w:lineRule="exact"/>
        <w:ind w:firstLine="600"/>
        <w:jc w:val="both"/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</w:pP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人员经费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7,285.3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，主要包括：</w:t>
      </w:r>
    </w:p>
    <w:p>
      <w:pPr>
        <w:spacing w:line="580" w:lineRule="exact"/>
        <w:ind w:firstLine="600"/>
        <w:jc w:val="both"/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</w:pP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“基本工资”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1,408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万元、“津贴补贴”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612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万元、“绩效工资”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2,009.3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万元、“机关事业单位基本养老保险缴费”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486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万元、“职业年金缴费”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243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万元、“职工基本医疗保险缴费”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303.8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万元、“其他社会保障缴费”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22.3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万元、“住房公积金”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1,652.2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万元、“医疗费”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88.4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万元、“其他工资福利支出”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283.8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万元、“离休费”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19.2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万元、“退休费”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135.1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万元、“医疗费补助”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22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万元、“奖励金”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0.2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万元。</w:t>
      </w:r>
    </w:p>
    <w:p>
      <w:pPr>
        <w:spacing w:line="580" w:lineRule="exact"/>
        <w:ind w:firstLine="600"/>
        <w:jc w:val="both"/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公用经费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788.5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，主要包括：</w:t>
      </w:r>
    </w:p>
    <w:p>
      <w:pPr>
        <w:spacing w:line="580" w:lineRule="exact"/>
        <w:ind w:firstLine="600"/>
        <w:jc w:val="both"/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“办公费”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7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万元、“印刷费”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2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万元、“水费”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9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万元、“电费”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97.5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万元、“邮电费”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20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万元、“取暖费”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32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万元、“物业管理费”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130.2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万元、“差旅费”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7.6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万元、“维修(护)费”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78.1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万元、“会议费”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0.2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万元、“培训费”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4.1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万元、“公务接待费”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0.2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万元、“专用材料费”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60.4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万元、“劳务费”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4.6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万元、“委托业务费”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89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万元、“工会经费”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61.8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万元、“福利费”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114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万元、“公务用车运行维护费”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2.2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万元、“其他交通费用”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7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万元、“其他商品和服务支出”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5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万元、“办公设备购置”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9.5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万元、“专用设备购置”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47.1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万元。</w:t>
      </w:r>
    </w:p>
    <w:p>
      <w:pPr>
        <w:pStyle w:val="3"/>
        <w:keepNext/>
        <w:keepLines/>
        <w:spacing w:before="260" w:after="260" w:line="600" w:lineRule="exact"/>
        <w:ind w:firstLine="600"/>
        <w:rPr>
          <w:rFonts w:hint="eastAsia" w:ascii="黑体" w:hAnsi="黑体" w:eastAsia="黑体"/>
          <w:color w:val="auto"/>
          <w:sz w:val="30"/>
          <w:lang w:val="en-US"/>
        </w:rPr>
      </w:pPr>
      <w:r>
        <w:rPr>
          <w:rFonts w:hint="eastAsia" w:ascii="黑体" w:hAnsi="黑体" w:eastAsia="黑体"/>
          <w:color w:val="auto"/>
          <w:sz w:val="30"/>
          <w:lang w:val="en-US"/>
        </w:rPr>
        <w:t>七、关于一般公共预算“三公”经费支出情况表的说明</w:t>
      </w:r>
    </w:p>
    <w:p>
      <w:pPr>
        <w:spacing w:line="580" w:lineRule="exact"/>
        <w:ind w:firstLine="600"/>
        <w:jc w:val="both"/>
        <w:rPr>
          <w:rFonts w:hint="default" w:ascii="仿宋_GB2312" w:hAnsi="仿宋_GB2312" w:eastAsia="仿宋_GB2312"/>
          <w:kern w:val="2"/>
          <w:sz w:val="30"/>
          <w:szCs w:val="2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2024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年一般公共预算“三公”经费安排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/>
        </w:rPr>
        <w:t>2.4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，与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2023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年预算相比减少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0.3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万元，主要原因是</w:t>
      </w:r>
      <w:r>
        <w:rPr>
          <w:rFonts w:hint="default" w:ascii="Times New Roman" w:hAnsi="Times New Roman" w:eastAsia="仿宋_GB2312" w:cs="Times New Roman"/>
          <w:kern w:val="2"/>
          <w:sz w:val="30"/>
          <w:szCs w:val="22"/>
          <w:lang w:val="zh-CN"/>
        </w:rPr>
        <w:t>2024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年压减“三公经费”预算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。具体情况：</w:t>
      </w:r>
    </w:p>
    <w:p>
      <w:pPr>
        <w:spacing w:line="560" w:lineRule="exact"/>
        <w:ind w:firstLine="600"/>
        <w:jc w:val="both"/>
        <w:rPr>
          <w:rFonts w:hint="default" w:ascii="仿宋_GB2312" w:hAnsi="仿宋_GB2312" w:eastAsia="仿宋_GB2312"/>
          <w:kern w:val="2"/>
          <w:sz w:val="30"/>
          <w:szCs w:val="22"/>
          <w:lang w:val="en-US"/>
        </w:rPr>
      </w:pPr>
      <w:r>
        <w:rPr>
          <w:rFonts w:hint="eastAsia" w:ascii="仿宋_GB2312" w:hAnsi="仿宋_GB2312" w:eastAsia="仿宋_GB2312"/>
          <w:color w:val="auto"/>
          <w:kern w:val="2"/>
          <w:sz w:val="30"/>
          <w:highlight w:val="none"/>
          <w:lang w:val="en-US"/>
        </w:rPr>
        <w:t>一、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/>
        </w:rPr>
        <w:t>2024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年因公出国（境）费预算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0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，与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2023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年预算相比持平，主要原因是本单位一般公共预算未安排‘因公出国（境）费’经费。</w:t>
      </w:r>
    </w:p>
    <w:p>
      <w:pPr>
        <w:spacing w:line="560" w:lineRule="exact"/>
        <w:ind w:firstLine="600"/>
        <w:jc w:val="both"/>
        <w:rPr>
          <w:rFonts w:hint="default" w:ascii="仿宋_GB2312" w:hAnsi="仿宋_GB2312" w:eastAsia="仿宋_GB2312"/>
          <w:kern w:val="2"/>
          <w:sz w:val="30"/>
          <w:szCs w:val="22"/>
          <w:lang w:val="en-US"/>
        </w:rPr>
      </w:pPr>
      <w:r>
        <w:rPr>
          <w:rFonts w:hint="eastAsia" w:ascii="仿宋_GB2312" w:hAnsi="仿宋_GB2312" w:eastAsia="仿宋_GB2312"/>
          <w:color w:val="auto"/>
          <w:kern w:val="2"/>
          <w:sz w:val="30"/>
          <w:highlight w:val="none"/>
          <w:lang w:val="en-US"/>
        </w:rPr>
        <w:t>二、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2024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年公务用车购置及运行费预算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 w:eastAsia="zh-CN"/>
        </w:rPr>
        <w:t>2.2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，其中公务用车运行费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 w:eastAsia="zh-CN"/>
        </w:rPr>
        <w:t>2.2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，与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2023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年预算相比减少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0.3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万元，主要原因是</w:t>
      </w:r>
      <w:r>
        <w:rPr>
          <w:rFonts w:hint="default" w:ascii="Times New Roman" w:hAnsi="Times New Roman" w:eastAsia="仿宋_GB2312" w:cs="Times New Roman"/>
          <w:kern w:val="2"/>
          <w:sz w:val="30"/>
          <w:szCs w:val="22"/>
          <w:lang w:val="en-US" w:eastAsia="zh-CN"/>
        </w:rPr>
        <w:t>2024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年压减公务用车运行费预算；公务用车购置费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 w:eastAsia="zh-CN"/>
        </w:rPr>
        <w:t>0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，与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2023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年预算相比持平，主要原因是本单位一般公共预算未安排‘公务用车购置费’经费。</w:t>
      </w:r>
    </w:p>
    <w:p>
      <w:pPr>
        <w:spacing w:line="560" w:lineRule="exact"/>
        <w:ind w:firstLine="645"/>
        <w:jc w:val="both"/>
        <w:rPr>
          <w:rFonts w:hint="default" w:ascii="仿宋_GB2312" w:hAnsi="仿宋_GB2312" w:eastAsia="仿宋_GB2312"/>
          <w:kern w:val="2"/>
          <w:sz w:val="30"/>
          <w:szCs w:val="22"/>
          <w:lang w:val="en-US"/>
        </w:rPr>
      </w:pPr>
      <w:r>
        <w:rPr>
          <w:rFonts w:hint="eastAsia" w:ascii="仿宋_GB2312" w:hAnsi="仿宋_GB2312" w:eastAsia="仿宋_GB2312"/>
          <w:color w:val="auto"/>
          <w:kern w:val="2"/>
          <w:sz w:val="30"/>
          <w:highlight w:val="none"/>
          <w:lang w:val="en-US"/>
        </w:rPr>
        <w:t>三、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2024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年公务接待费预算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 w:eastAsia="zh-CN"/>
        </w:rPr>
        <w:t>0.2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，与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2023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年预算相比持平，主要原因是与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2023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年保持一致，没有增减变化。</w:t>
      </w:r>
    </w:p>
    <w:p>
      <w:pPr>
        <w:pStyle w:val="3"/>
        <w:keepNext/>
        <w:keepLines/>
        <w:spacing w:before="260" w:after="260" w:line="600" w:lineRule="exact"/>
        <w:ind w:firstLine="600"/>
        <w:rPr>
          <w:rFonts w:hint="default" w:ascii="Calibri" w:hAnsi="Calibri" w:eastAsia="Calibri"/>
          <w:color w:val="auto"/>
          <w:kern w:val="2"/>
          <w:sz w:val="21"/>
          <w:lang w:val="zh-CN"/>
        </w:rPr>
      </w:pPr>
      <w:r>
        <w:rPr>
          <w:rFonts w:hint="eastAsia" w:ascii="黑体" w:hAnsi="黑体" w:eastAsia="黑体"/>
          <w:color w:val="auto"/>
          <w:sz w:val="30"/>
          <w:lang w:val="en-US"/>
        </w:rPr>
        <w:t>八、关于政府性基金预算支出情况表的说明</w:t>
      </w:r>
    </w:p>
    <w:p>
      <w:pPr>
        <w:spacing w:line="560" w:lineRule="exact"/>
        <w:ind w:firstLine="645"/>
        <w:jc w:val="both"/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2024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天津图书馆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预算中没有使用政府性基金预算安排的支出。</w:t>
      </w:r>
    </w:p>
    <w:p>
      <w:pPr>
        <w:pStyle w:val="3"/>
        <w:keepNext/>
        <w:keepLines/>
        <w:spacing w:before="260" w:after="260" w:line="600" w:lineRule="exact"/>
        <w:ind w:firstLine="600"/>
        <w:rPr>
          <w:rFonts w:hint="eastAsia" w:ascii="黑体" w:hAnsi="黑体" w:eastAsia="黑体"/>
          <w:color w:val="auto"/>
          <w:sz w:val="30"/>
          <w:lang w:val="en-US"/>
        </w:rPr>
      </w:pPr>
      <w:r>
        <w:rPr>
          <w:rFonts w:hint="eastAsia" w:ascii="黑体" w:hAnsi="黑体" w:eastAsia="黑体"/>
          <w:color w:val="auto"/>
          <w:sz w:val="30"/>
          <w:lang w:val="en-US"/>
        </w:rPr>
        <w:t>九、关于国有资本经营预算支出情况表的说明</w:t>
      </w:r>
    </w:p>
    <w:p>
      <w:pPr>
        <w:spacing w:line="560" w:lineRule="exact"/>
        <w:ind w:firstLine="645"/>
        <w:jc w:val="both"/>
        <w:rPr>
          <w:rFonts w:hint="default" w:ascii="仿宋_GB2312" w:hAnsi="仿宋_GB2312" w:eastAsia="仿宋_GB2312"/>
          <w:kern w:val="2"/>
          <w:sz w:val="30"/>
          <w:szCs w:val="2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 w:eastAsia="zh-CN"/>
        </w:rPr>
        <w:t>2024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年天津图书馆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预算中没有使用国有资本经营预算安排的支出。</w:t>
      </w:r>
    </w:p>
    <w:p>
      <w:pPr>
        <w:pStyle w:val="3"/>
        <w:keepNext/>
        <w:keepLines/>
        <w:spacing w:before="260" w:after="260" w:line="600" w:lineRule="exact"/>
        <w:ind w:firstLine="600"/>
        <w:rPr>
          <w:rFonts w:hint="eastAsia" w:ascii="黑体" w:hAnsi="黑体" w:eastAsia="黑体"/>
          <w:color w:val="auto"/>
          <w:sz w:val="30"/>
          <w:lang w:val="en-US"/>
        </w:rPr>
      </w:pPr>
      <w:r>
        <w:rPr>
          <w:rFonts w:hint="eastAsia" w:ascii="黑体" w:hAnsi="黑体" w:eastAsia="黑体"/>
          <w:color w:val="auto"/>
          <w:sz w:val="30"/>
          <w:lang w:val="en-US"/>
        </w:rPr>
        <w:t>十、其他重要事项的情况说明</w:t>
      </w:r>
    </w:p>
    <w:p>
      <w:pPr>
        <w:spacing w:line="600" w:lineRule="exact"/>
        <w:ind w:left="480"/>
        <w:jc w:val="both"/>
        <w:rPr>
          <w:rFonts w:hint="eastAsia" w:ascii="楷体" w:hAnsi="楷体" w:eastAsia="楷体"/>
          <w:b/>
          <w:color w:val="auto"/>
          <w:kern w:val="2"/>
          <w:sz w:val="30"/>
          <w:lang w:val="en-US"/>
        </w:rPr>
      </w:pPr>
      <w:r>
        <w:rPr>
          <w:rFonts w:hint="eastAsia" w:ascii="楷体" w:hAnsi="楷体" w:eastAsia="楷体"/>
          <w:b/>
          <w:color w:val="auto"/>
          <w:kern w:val="2"/>
          <w:sz w:val="30"/>
          <w:lang w:val="en-US"/>
        </w:rPr>
        <w:t xml:space="preserve"> （一）机关运行经费。</w:t>
      </w:r>
    </w:p>
    <w:p>
      <w:pPr>
        <w:spacing w:line="560" w:lineRule="exact"/>
        <w:ind w:firstLine="645"/>
        <w:jc w:val="both"/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 xml:space="preserve"> 天津图书馆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2024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年未安排机关运行经费预算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。</w:t>
      </w:r>
    </w:p>
    <w:p>
      <w:pPr>
        <w:spacing w:line="600" w:lineRule="exact"/>
        <w:ind w:firstLine="602"/>
        <w:jc w:val="both"/>
        <w:rPr>
          <w:rFonts w:hint="default" w:ascii="MS Serif" w:hAnsi="MS Serif" w:eastAsia="MS Serif"/>
          <w:b/>
          <w:color w:val="auto"/>
          <w:kern w:val="2"/>
          <w:sz w:val="30"/>
          <w:lang w:val="en-US"/>
        </w:rPr>
      </w:pPr>
      <w:r>
        <w:rPr>
          <w:rFonts w:hint="eastAsia" w:ascii="楷体" w:hAnsi="楷体" w:eastAsia="楷体"/>
          <w:b/>
          <w:color w:val="auto"/>
          <w:kern w:val="2"/>
          <w:sz w:val="30"/>
          <w:lang w:val="en-US"/>
        </w:rPr>
        <w:t>（二）</w:t>
      </w:r>
      <w:r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  <w:t>政府采购情况</w:t>
      </w:r>
      <w:r>
        <w:rPr>
          <w:rFonts w:hint="eastAsia" w:ascii="楷体" w:hAnsi="楷体" w:eastAsia="楷体"/>
          <w:b/>
          <w:color w:val="auto"/>
          <w:kern w:val="2"/>
          <w:sz w:val="30"/>
          <w:lang w:val="en-US"/>
        </w:rPr>
        <w:t>。</w:t>
      </w:r>
    </w:p>
    <w:p>
      <w:pPr>
        <w:spacing w:line="560" w:lineRule="exact"/>
        <w:ind w:firstLine="645"/>
        <w:jc w:val="both"/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</w:pP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本单位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2024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年安排政府采购预算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 w:eastAsia="zh-CN"/>
        </w:rPr>
        <w:t>9,643.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4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万元，其中：政府采购货物支出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3,946.2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万元、政府采购工程支出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0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万元、政府采购服务支出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5,697.2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/>
        </w:rPr>
        <w:t>万元。主要项目是：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中文普通图书采购项目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2239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万元，中文报刊采购项目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398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万元，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 w:eastAsia="zh-CN"/>
        </w:rPr>
        <w:t>中文少儿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图书采购项目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210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万元，外文原版期刊采购项目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 w:eastAsia="zh-CN"/>
        </w:rPr>
        <w:t>1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40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万元，天津图书馆安防维修提升采购项目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280.6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万元，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 w:eastAsia="zh-CN"/>
        </w:rPr>
        <w:t>天津图书馆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防排烟系统改造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 w:eastAsia="zh-CN"/>
        </w:rPr>
        <w:t>采购项目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140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万元，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天津图书馆文化中心馆物业服务项目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 w:eastAsia="zh-CN"/>
        </w:rPr>
        <w:t>36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7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万元，社会化用工劳务派遣服务项目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 w:eastAsia="zh-CN"/>
        </w:rPr>
        <w:t>1585.8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/>
        </w:rPr>
        <w:t>万元。</w:t>
      </w:r>
    </w:p>
    <w:p>
      <w:pPr>
        <w:spacing w:line="600" w:lineRule="exact"/>
        <w:ind w:firstLine="602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  <w:t>（三）国有资产占用情况</w:t>
      </w:r>
      <w:r>
        <w:rPr>
          <w:rFonts w:hint="eastAsia" w:ascii="楷体" w:hAnsi="楷体" w:eastAsia="楷体"/>
          <w:b/>
          <w:color w:val="auto"/>
          <w:kern w:val="2"/>
          <w:sz w:val="30"/>
          <w:lang w:val="en-US"/>
        </w:rPr>
        <w:t>。</w:t>
      </w:r>
    </w:p>
    <w:p>
      <w:pPr>
        <w:spacing w:line="560" w:lineRule="exact"/>
        <w:ind w:firstLine="645"/>
        <w:jc w:val="both"/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</w:pP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截至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2023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7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月底，本单位共有车辆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3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辆，其中：副部（省）级及以上领导用车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0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辆、主要负责人干部用车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0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辆、机要通信用车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0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辆、应急保障用车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0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辆、执法执勤用车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0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辆、特种专业技术用车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2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辆、离退休干部服务用车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0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辆、其他用车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1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辆，其他用车主要包括业务活动用车。单价（账面原值）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100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万元以上的设备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7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台（套）。</w:t>
      </w:r>
    </w:p>
    <w:p>
      <w:pPr>
        <w:spacing w:line="600" w:lineRule="exact"/>
        <w:ind w:firstLine="602"/>
        <w:jc w:val="both"/>
        <w:rPr>
          <w:rFonts w:hint="default" w:ascii="MS Serif" w:hAnsi="MS Serif" w:eastAsia="MS Serif"/>
          <w:b/>
          <w:color w:val="auto"/>
          <w:kern w:val="2"/>
          <w:sz w:val="30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  <w:t>（四）预算绩效情况说明。</w:t>
      </w:r>
    </w:p>
    <w:p>
      <w:pPr>
        <w:spacing w:line="560" w:lineRule="exact"/>
        <w:ind w:firstLine="645"/>
        <w:jc w:val="both"/>
        <w:rPr>
          <w:rFonts w:hint="default" w:ascii="仿宋_GB2312" w:hAnsi="仿宋_GB2312" w:eastAsia="仿宋_GB2312"/>
          <w:kern w:val="2"/>
          <w:sz w:val="30"/>
          <w:szCs w:val="22"/>
          <w:lang w:val="en-US" w:eastAsia="zh-CN"/>
        </w:rPr>
      </w:pP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本单位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en-US" w:eastAsia="zh-CN"/>
        </w:rPr>
        <w:t>2024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年实行绩效目标管理的项目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 w:eastAsia="zh-CN"/>
        </w:rPr>
        <w:t>16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个，涉及预算金额</w:t>
      </w:r>
      <w:r>
        <w:rPr>
          <w:rFonts w:hint="eastAsia" w:ascii="Times New Roman" w:hAnsi="Times New Roman" w:eastAsia="仿宋_GB2312" w:cs="Times New Roman"/>
          <w:kern w:val="2"/>
          <w:sz w:val="30"/>
          <w:szCs w:val="22"/>
          <w:lang w:val="zh-CN" w:eastAsia="zh-CN"/>
        </w:rPr>
        <w:t>11,041.8</w:t>
      </w:r>
      <w:r>
        <w:rPr>
          <w:rFonts w:hint="eastAsia" w:ascii="仿宋_GB2312" w:hAnsi="仿宋_GB2312" w:eastAsia="仿宋_GB2312"/>
          <w:kern w:val="2"/>
          <w:sz w:val="30"/>
          <w:szCs w:val="22"/>
          <w:lang w:val="zh-CN" w:eastAsia="zh-CN"/>
        </w:rPr>
        <w:t>万元</w:t>
      </w:r>
      <w:r>
        <w:rPr>
          <w:rFonts w:hint="eastAsia" w:ascii="仿宋_GB2312" w:hAnsi="仿宋_GB2312" w:eastAsia="仿宋_GB2312"/>
          <w:kern w:val="2"/>
          <w:sz w:val="30"/>
          <w:szCs w:val="22"/>
          <w:lang w:val="en-US" w:eastAsia="zh-CN"/>
        </w:rPr>
        <w:t>。</w:t>
      </w:r>
    </w:p>
    <w:p>
      <w:pPr>
        <w:spacing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lang w:val="zh-CN"/>
        </w:rPr>
      </w:pPr>
    </w:p>
    <w:p>
      <w:pPr>
        <w:spacing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lang w:val="zh-CN"/>
        </w:rPr>
      </w:pPr>
    </w:p>
    <w:p>
      <w:pPr>
        <w:spacing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lang w:val="zh-CN"/>
        </w:rPr>
      </w:pPr>
    </w:p>
    <w:p>
      <w:pPr>
        <w:spacing w:line="580" w:lineRule="exact"/>
        <w:ind w:firstLine="600"/>
        <w:jc w:val="center"/>
        <w:rPr>
          <w:rFonts w:hint="eastAsia" w:ascii="黑体" w:hAnsi="黑体" w:eastAsia="黑体"/>
          <w:color w:val="auto"/>
          <w:kern w:val="2"/>
          <w:sz w:val="30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lang w:val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lang w:val="zh-CN"/>
        </w:rPr>
      </w:pPr>
    </w:p>
    <w:p>
      <w:pPr>
        <w:spacing w:line="580" w:lineRule="exact"/>
        <w:jc w:val="center"/>
        <w:rPr>
          <w:rFonts w:hint="eastAsia" w:ascii="黑体" w:hAnsi="黑体" w:eastAsia="黑体"/>
          <w:b/>
          <w:color w:val="auto"/>
          <w:kern w:val="2"/>
          <w:sz w:val="44"/>
          <w:lang w:val="en-US"/>
        </w:rPr>
      </w:pPr>
      <w:r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lang w:val="zh-CN"/>
        </w:rPr>
        <w:t>第三部分</w:t>
      </w:r>
      <w:r>
        <w:rPr>
          <w:rFonts w:hint="eastAsia" w:ascii="黑体" w:hAnsi="黑体" w:eastAsia="黑体"/>
          <w:b/>
          <w:color w:val="auto"/>
          <w:kern w:val="2"/>
          <w:sz w:val="44"/>
          <w:lang w:val="en-US"/>
        </w:rPr>
        <w:t xml:space="preserve">  </w:t>
      </w:r>
      <w:r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lang w:val="en-US"/>
        </w:rPr>
        <w:t>名词解释</w:t>
      </w:r>
    </w:p>
    <w:p>
      <w:pPr>
        <w:spacing w:line="600" w:lineRule="exact"/>
        <w:ind w:firstLine="600"/>
        <w:jc w:val="both"/>
        <w:rPr>
          <w:rFonts w:hint="eastAsia" w:ascii="仿宋_GB2312" w:hAnsi="仿宋_GB2312" w:eastAsia="仿宋_GB2312"/>
          <w:color w:val="auto"/>
          <w:kern w:val="2"/>
          <w:sz w:val="30"/>
          <w:lang w:val="en-US"/>
        </w:rPr>
      </w:pPr>
    </w:p>
    <w:p>
      <w:pPr>
        <w:spacing w:line="580" w:lineRule="exact"/>
        <w:ind w:firstLine="600"/>
        <w:rPr>
          <w:rFonts w:hint="eastAsia" w:ascii="仿宋_GB2312" w:hAnsi="仿宋_GB2312" w:eastAsia="仿宋_GB2312"/>
          <w:color w:val="auto"/>
          <w:sz w:val="30"/>
          <w:lang w:val="en-US"/>
        </w:rPr>
      </w:pPr>
      <w:r>
        <w:rPr>
          <w:rFonts w:hint="eastAsia" w:ascii="仿宋_GB2312" w:hAnsi="仿宋_GB2312" w:eastAsia="仿宋_GB2312"/>
          <w:color w:val="auto"/>
          <w:sz w:val="30"/>
          <w:szCs w:val="22"/>
          <w:lang w:val="en-US"/>
        </w:rPr>
        <w:t>1</w:t>
      </w:r>
      <w:r>
        <w:rPr>
          <w:rFonts w:hint="default" w:ascii="仿宋_GB2312" w:hAnsi="仿宋_GB2312" w:eastAsia="仿宋_GB2312"/>
          <w:color w:val="auto"/>
          <w:sz w:val="30"/>
          <w:szCs w:val="22"/>
          <w:lang w:val="en-US"/>
        </w:rPr>
        <w:t>.</w:t>
      </w:r>
      <w:r>
        <w:rPr>
          <w:rFonts w:hint="eastAsia" w:ascii="仿宋_GB2312" w:hAnsi="仿宋_GB2312" w:eastAsia="仿宋_GB2312"/>
          <w:color w:val="auto"/>
          <w:sz w:val="30"/>
          <w:lang w:val="en-US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>
      <w:pPr>
        <w:spacing w:line="580" w:lineRule="exact"/>
        <w:ind w:firstLine="600"/>
        <w:rPr>
          <w:rFonts w:hint="eastAsia" w:ascii="仿宋_GB2312" w:hAnsi="仿宋_GB2312" w:eastAsia="仿宋_GB2312"/>
          <w:color w:val="auto"/>
          <w:sz w:val="30"/>
          <w:lang w:val="en-US"/>
        </w:rPr>
      </w:pPr>
      <w:r>
        <w:rPr>
          <w:rFonts w:hint="eastAsia" w:ascii="仿宋_GB2312" w:hAnsi="仿宋_GB2312" w:eastAsia="仿宋_GB2312"/>
          <w:color w:val="auto"/>
          <w:sz w:val="30"/>
          <w:lang w:val="en-US"/>
        </w:rPr>
        <w:t>2.机关运行经费。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spacing w:line="580" w:lineRule="exact"/>
        <w:ind w:firstLine="600"/>
        <w:jc w:val="both"/>
        <w:rPr>
          <w:rFonts w:hint="eastAsia" w:ascii="楷体_GB2312" w:hAnsi="楷体_GB2312" w:eastAsia="楷体_GB2312"/>
          <w:color w:val="auto"/>
          <w:kern w:val="2"/>
          <w:sz w:val="30"/>
          <w:lang w:val="en-US"/>
        </w:rPr>
      </w:pPr>
    </w:p>
    <w:p>
      <w:pPr>
        <w:spacing w:line="580" w:lineRule="exact"/>
        <w:ind w:firstLine="600"/>
        <w:jc w:val="both"/>
        <w:rPr>
          <w:rFonts w:hint="eastAsia" w:ascii="楷体_GB2312" w:hAnsi="楷体_GB2312" w:eastAsia="楷体_GB2312"/>
          <w:color w:val="auto"/>
          <w:kern w:val="2"/>
          <w:sz w:val="30"/>
          <w:lang w:val="en-US"/>
        </w:rPr>
      </w:pPr>
    </w:p>
    <w:p>
      <w:pPr>
        <w:spacing w:line="580" w:lineRule="exact"/>
        <w:ind w:firstLine="600"/>
        <w:jc w:val="both"/>
        <w:rPr>
          <w:rFonts w:hint="eastAsia" w:ascii="楷体_GB2312" w:hAnsi="楷体_GB2312" w:eastAsia="楷体_GB2312"/>
          <w:color w:val="auto"/>
          <w:kern w:val="2"/>
          <w:sz w:val="30"/>
          <w:lang w:val="en-US"/>
        </w:rPr>
      </w:pPr>
    </w:p>
    <w:p>
      <w:pPr>
        <w:spacing w:line="580" w:lineRule="exact"/>
        <w:ind w:firstLine="600"/>
        <w:jc w:val="both"/>
        <w:rPr>
          <w:rFonts w:hint="eastAsia" w:ascii="楷体_GB2312" w:hAnsi="楷体_GB2312" w:eastAsia="楷体_GB2312"/>
          <w:color w:val="auto"/>
          <w:kern w:val="2"/>
          <w:sz w:val="30"/>
          <w:lang w:val="en-US"/>
        </w:rPr>
      </w:pPr>
    </w:p>
    <w:p>
      <w:pPr>
        <w:spacing w:line="580" w:lineRule="exact"/>
        <w:ind w:firstLine="600"/>
        <w:jc w:val="both"/>
        <w:rPr>
          <w:rFonts w:hint="eastAsia" w:ascii="楷体_GB2312" w:hAnsi="楷体_GB2312" w:eastAsia="楷体_GB2312"/>
          <w:color w:val="auto"/>
          <w:kern w:val="2"/>
          <w:sz w:val="30"/>
          <w:lang w:val="en-US"/>
        </w:rPr>
      </w:pPr>
    </w:p>
    <w:p>
      <w:pPr>
        <w:spacing w:line="580" w:lineRule="exact"/>
        <w:ind w:firstLine="600"/>
        <w:jc w:val="both"/>
        <w:rPr>
          <w:rFonts w:hint="eastAsia" w:ascii="楷体_GB2312" w:hAnsi="楷体_GB2312" w:eastAsia="楷体_GB2312"/>
          <w:color w:val="auto"/>
          <w:kern w:val="2"/>
          <w:sz w:val="30"/>
          <w:lang w:val="en-US"/>
        </w:rPr>
      </w:pPr>
    </w:p>
    <w:p>
      <w:pPr>
        <w:spacing w:line="580" w:lineRule="exact"/>
        <w:jc w:val="both"/>
        <w:rPr>
          <w:rFonts w:hint="eastAsia" w:ascii="楷体_GB2312" w:hAnsi="楷体_GB2312" w:eastAsia="楷体_GB2312"/>
          <w:color w:val="auto"/>
          <w:kern w:val="2"/>
          <w:sz w:val="30"/>
          <w:lang w:val="en-US"/>
        </w:rPr>
      </w:pPr>
    </w:p>
    <w:p>
      <w:pPr>
        <w:spacing w:line="580" w:lineRule="exact"/>
        <w:jc w:val="both"/>
        <w:rPr>
          <w:rFonts w:hint="eastAsia" w:ascii="楷体_GB2312" w:hAnsi="楷体_GB2312" w:eastAsia="楷体_GB2312"/>
          <w:color w:val="auto"/>
          <w:kern w:val="2"/>
          <w:sz w:val="30"/>
          <w:lang w:val="en-US"/>
        </w:rPr>
      </w:pPr>
    </w:p>
    <w:p>
      <w:pPr>
        <w:spacing w:line="580" w:lineRule="exact"/>
        <w:jc w:val="both"/>
        <w:rPr>
          <w:rFonts w:hint="eastAsia" w:ascii="楷体_GB2312" w:hAnsi="楷体_GB2312" w:eastAsia="楷体_GB2312"/>
          <w:color w:val="auto"/>
          <w:kern w:val="2"/>
          <w:sz w:val="30"/>
          <w:lang w:val="en-US"/>
        </w:rPr>
      </w:pPr>
    </w:p>
    <w:p>
      <w:pPr>
        <w:spacing w:line="580" w:lineRule="exact"/>
        <w:jc w:val="both"/>
        <w:rPr>
          <w:rFonts w:hint="eastAsia" w:ascii="楷体_GB2312" w:hAnsi="楷体_GB2312" w:eastAsia="楷体_GB2312"/>
          <w:color w:val="auto"/>
          <w:kern w:val="2"/>
          <w:sz w:val="30"/>
          <w:lang w:val="en-US"/>
        </w:rPr>
      </w:pPr>
    </w:p>
    <w:p>
      <w:pPr>
        <w:spacing w:line="580" w:lineRule="exact"/>
        <w:jc w:val="both"/>
        <w:rPr>
          <w:rFonts w:hint="eastAsia" w:ascii="楷体_GB2312" w:hAnsi="楷体_GB2312" w:eastAsia="楷体_GB2312"/>
          <w:color w:val="auto"/>
          <w:kern w:val="2"/>
          <w:sz w:val="30"/>
          <w:lang w:val="en-US"/>
        </w:rPr>
      </w:pPr>
    </w:p>
    <w:p>
      <w:pPr>
        <w:spacing w:line="580" w:lineRule="exact"/>
        <w:ind w:firstLine="600"/>
        <w:jc w:val="both"/>
        <w:rPr>
          <w:rFonts w:hint="default" w:ascii="MS Serif" w:hAnsi="MS Serif" w:eastAsia="MS Serif"/>
          <w:color w:val="auto"/>
          <w:kern w:val="2"/>
          <w:sz w:val="30"/>
          <w:lang w:val="en-US"/>
        </w:rPr>
      </w:pPr>
    </w:p>
    <w:p>
      <w:pPr>
        <w:spacing w:line="580" w:lineRule="exact"/>
        <w:ind w:firstLine="600"/>
        <w:jc w:val="both"/>
        <w:rPr>
          <w:rFonts w:hint="default" w:ascii="MS Serif" w:hAnsi="MS Serif" w:eastAsia="MS Serif"/>
          <w:color w:val="auto"/>
          <w:kern w:val="2"/>
          <w:sz w:val="30"/>
          <w:lang w:val="en-US"/>
        </w:rPr>
      </w:pPr>
    </w:p>
    <w:p>
      <w:pPr>
        <w:numPr>
          <w:ilvl w:val="0"/>
          <w:numId w:val="0"/>
        </w:numPr>
        <w:spacing w:line="580" w:lineRule="exact"/>
        <w:jc w:val="center"/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lang w:val="en-US"/>
        </w:rPr>
      </w:pPr>
      <w:r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szCs w:val="22"/>
          <w:lang w:val="zh-CN"/>
        </w:rPr>
        <w:t>第四部分</w:t>
      </w:r>
      <w:r>
        <w:rPr>
          <w:rFonts w:hint="eastAsia" w:ascii="黑体" w:hAnsi="黑体" w:eastAsia="黑体"/>
          <w:b/>
          <w:color w:val="auto"/>
          <w:kern w:val="2"/>
          <w:sz w:val="44"/>
          <w:lang w:val="en-US"/>
        </w:rPr>
        <w:t xml:space="preserve"> </w:t>
      </w:r>
      <w:r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lang w:val="en-US"/>
        </w:rPr>
        <w:t>2024年单位预算表</w:t>
      </w:r>
    </w:p>
    <w:p>
      <w:pPr>
        <w:numPr>
          <w:ilvl w:val="0"/>
          <w:numId w:val="0"/>
        </w:numPr>
        <w:spacing w:line="580" w:lineRule="exact"/>
        <w:jc w:val="both"/>
        <w:rPr>
          <w:rFonts w:hint="eastAsia" w:ascii="方正小标宋简体" w:hAnsi="方正小标宋简体" w:eastAsia="方正小标宋简体"/>
          <w:b/>
          <w:color w:val="auto"/>
          <w:kern w:val="44"/>
          <w:sz w:val="44"/>
          <w:lang w:val="en-US"/>
        </w:rPr>
      </w:pPr>
    </w:p>
    <w:p>
      <w:pPr>
        <w:spacing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  <w:t>一、《收支总体情况表》</w:t>
      </w:r>
    </w:p>
    <w:p>
      <w:pPr>
        <w:spacing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  <w:t>二、《收入总体情况表》</w:t>
      </w:r>
    </w:p>
    <w:p>
      <w:pPr>
        <w:spacing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  <w:t>三、《支出总体情况表》</w:t>
      </w:r>
    </w:p>
    <w:p>
      <w:pPr>
        <w:spacing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  <w:t>四、《财政拨款收支总体情况表》</w:t>
      </w:r>
    </w:p>
    <w:p>
      <w:pPr>
        <w:spacing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  <w:t>五、《一般公共预算支出情况表》</w:t>
      </w:r>
    </w:p>
    <w:p>
      <w:pPr>
        <w:spacing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  <w:t>六、《一般公共预算基本支出情况表》</w:t>
      </w:r>
    </w:p>
    <w:p>
      <w:pPr>
        <w:spacing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  <w:t>七、《一般公共预算“三公”经费支出情况表》</w:t>
      </w:r>
    </w:p>
    <w:p>
      <w:pPr>
        <w:spacing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  <w:t>八、《政府性基金预算支出情况表》</w:t>
      </w:r>
    </w:p>
    <w:p>
      <w:pPr>
        <w:spacing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  <w:t>九、《国有资本经营预算支出情况表》</w:t>
      </w:r>
    </w:p>
    <w:p>
      <w:pPr>
        <w:spacing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  <w:t>十、《项目支出表》</w:t>
      </w:r>
    </w:p>
    <w:p>
      <w:pPr>
        <w:spacing w:line="560" w:lineRule="exact"/>
        <w:ind w:left="480"/>
        <w:jc w:val="both"/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</w:pPr>
      <w:r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  <w:t>十一、关于空表的说明</w:t>
      </w:r>
      <w:r>
        <w:rPr>
          <w:rFonts w:hint="eastAsia" w:ascii="楷体_GB2312" w:hAnsi="楷体_GB2312" w:eastAsia="楷体_GB2312"/>
          <w:b/>
          <w:color w:val="auto"/>
          <w:kern w:val="2"/>
          <w:sz w:val="30"/>
          <w:lang w:val="en-US"/>
        </w:rPr>
        <w:tab/>
      </w:r>
    </w:p>
    <w:p>
      <w:pPr>
        <w:spacing w:line="560" w:lineRule="exact"/>
        <w:ind w:firstLine="600"/>
        <w:rPr>
          <w:rFonts w:hint="eastAsia" w:ascii="楷体_GB2312" w:hAnsi="楷体_GB2312" w:eastAsia="楷体_GB2312"/>
          <w:color w:val="auto"/>
          <w:sz w:val="30"/>
          <w:lang w:val="en-US"/>
        </w:rPr>
      </w:pPr>
      <w:r>
        <w:rPr>
          <w:rFonts w:hint="eastAsia" w:ascii="楷体_GB2312" w:hAnsi="楷体_GB2312" w:eastAsia="楷体_GB2312"/>
          <w:color w:val="auto"/>
          <w:sz w:val="30"/>
          <w:lang w:val="en-US" w:eastAsia="zh-CN"/>
        </w:rPr>
        <w:t>1</w:t>
      </w:r>
      <w:r>
        <w:rPr>
          <w:rFonts w:hint="eastAsia" w:ascii="楷体_GB2312" w:hAnsi="楷体_GB2312" w:eastAsia="楷体_GB2312"/>
          <w:color w:val="auto"/>
          <w:sz w:val="30"/>
          <w:lang w:val="en-US"/>
        </w:rPr>
        <w:t>.</w:t>
      </w:r>
      <w:r>
        <w:rPr>
          <w:rFonts w:hint="eastAsia" w:ascii="楷体_GB2312" w:hAnsi="楷体_GB2312" w:eastAsia="楷体_GB2312"/>
          <w:color w:val="auto"/>
          <w:sz w:val="30"/>
          <w:lang w:val="zh-CN"/>
        </w:rPr>
        <w:t>天津图书馆</w:t>
      </w:r>
      <w:r>
        <w:rPr>
          <w:rFonts w:hint="default" w:ascii="Times New Roman" w:hAnsi="Times New Roman" w:eastAsia="楷体_GB2312" w:cs="Times New Roman"/>
          <w:color w:val="auto"/>
          <w:sz w:val="30"/>
          <w:lang w:val="en-US"/>
        </w:rPr>
        <w:t>2024</w:t>
      </w:r>
      <w:r>
        <w:rPr>
          <w:rFonts w:hint="eastAsia" w:ascii="楷体_GB2312" w:hAnsi="楷体_GB2312" w:eastAsia="楷体_GB2312"/>
          <w:color w:val="auto"/>
          <w:sz w:val="30"/>
          <w:lang w:val="en-US"/>
        </w:rPr>
        <w:t>年政府性基金预算支出情况表为空表。</w:t>
      </w:r>
    </w:p>
    <w:p>
      <w:pPr>
        <w:spacing w:line="560" w:lineRule="exact"/>
        <w:ind w:firstLine="600"/>
        <w:rPr>
          <w:rFonts w:hint="eastAsia" w:ascii="楷体_GB2312" w:hAnsi="楷体_GB2312" w:eastAsia="楷体_GB2312"/>
          <w:color w:val="auto"/>
          <w:sz w:val="30"/>
          <w:lang w:val="en-US"/>
        </w:rPr>
      </w:pPr>
      <w:r>
        <w:rPr>
          <w:rFonts w:hint="eastAsia" w:ascii="楷体_GB2312" w:hAnsi="楷体_GB2312" w:eastAsia="楷体_GB2312"/>
          <w:color w:val="auto"/>
          <w:sz w:val="30"/>
          <w:lang w:val="en-US" w:eastAsia="zh-CN"/>
        </w:rPr>
        <w:t>2</w:t>
      </w:r>
      <w:r>
        <w:rPr>
          <w:rFonts w:hint="eastAsia" w:ascii="楷体_GB2312" w:hAnsi="楷体_GB2312" w:eastAsia="楷体_GB2312"/>
          <w:color w:val="auto"/>
          <w:sz w:val="30"/>
          <w:lang w:val="en-US"/>
        </w:rPr>
        <w:t>.</w:t>
      </w:r>
      <w:r>
        <w:rPr>
          <w:rFonts w:hint="eastAsia" w:ascii="楷体_GB2312" w:hAnsi="楷体_GB2312" w:eastAsia="楷体_GB2312"/>
          <w:color w:val="auto"/>
          <w:sz w:val="30"/>
          <w:lang w:val="zh-CN"/>
        </w:rPr>
        <w:t>天津图书馆</w:t>
      </w:r>
      <w:r>
        <w:rPr>
          <w:rFonts w:hint="default" w:ascii="Times New Roman" w:hAnsi="Times New Roman" w:eastAsia="楷体_GB2312" w:cs="Times New Roman"/>
          <w:color w:val="auto"/>
          <w:sz w:val="30"/>
          <w:lang w:val="en-US"/>
        </w:rPr>
        <w:t>2024</w:t>
      </w:r>
      <w:r>
        <w:rPr>
          <w:rFonts w:hint="eastAsia" w:ascii="楷体_GB2312" w:hAnsi="楷体_GB2312" w:eastAsia="楷体_GB2312"/>
          <w:color w:val="auto"/>
          <w:sz w:val="30"/>
          <w:lang w:val="en-US"/>
        </w:rPr>
        <w:t>年国有资本经营预算支出情况表为空表。</w:t>
      </w:r>
    </w:p>
    <w:p>
      <w:pPr>
        <w:jc w:val="both"/>
        <w:rPr>
          <w:rFonts w:hint="eastAsia" w:ascii="黑体" w:hAnsi="黑体" w:eastAsia="黑体"/>
          <w:color w:val="auto"/>
          <w:kern w:val="2"/>
          <w:sz w:val="32"/>
          <w:lang w:val="zh-CN"/>
        </w:rPr>
      </w:pPr>
    </w:p>
    <w:p>
      <w:pPr>
        <w:jc w:val="both"/>
        <w:rPr>
          <w:rFonts w:hint="default" w:ascii="Times New Roman" w:hAnsi="Times New Roman" w:eastAsia="Times New Roman"/>
          <w:color w:val="auto"/>
          <w:kern w:val="2"/>
          <w:sz w:val="44"/>
          <w:lang w:val="zh-CN"/>
        </w:rPr>
      </w:pPr>
    </w:p>
    <w:p>
      <w:pPr>
        <w:jc w:val="both"/>
        <w:rPr>
          <w:rFonts w:hint="default" w:ascii="Calibri" w:hAnsi="Calibri" w:eastAsia="Calibri"/>
          <w:color w:val="auto"/>
          <w:kern w:val="2"/>
          <w:sz w:val="21"/>
          <w:lang w:val="zh-CN"/>
        </w:rPr>
      </w:pPr>
    </w:p>
    <w:p>
      <w:pPr>
        <w:rPr>
          <w:rFonts w:hint="default" w:ascii="Times New Roman" w:hAnsi="Times New Roman" w:eastAsia="Times New Roman"/>
          <w:color w:val="auto"/>
          <w:kern w:val="2"/>
          <w:sz w:val="44"/>
          <w:lang w:val="zh-CN"/>
        </w:rPr>
      </w:pPr>
    </w:p>
    <w:p>
      <w:pPr>
        <w:rPr>
          <w:rFonts w:hint="default" w:ascii="Times New Roman" w:hAnsi="Times New Roman" w:eastAsia="Times New Roman"/>
          <w:color w:val="auto"/>
          <w:sz w:val="24"/>
          <w:lang w:val="zh-CN"/>
        </w:rPr>
      </w:pPr>
    </w:p>
    <w:p>
      <w:pPr>
        <w:rPr>
          <w:rFonts w:hint="default" w:ascii="Times New Roman" w:hAnsi="Times New Roman" w:eastAsia="Times New Roman"/>
          <w:color w:val="auto"/>
          <w:kern w:val="2"/>
          <w:sz w:val="44"/>
          <w:lang w:val="zh-CN"/>
        </w:rPr>
      </w:pPr>
    </w:p>
    <w:p>
      <w:pPr>
        <w:rPr>
          <w:rFonts w:hint="default" w:ascii="Times New Roman" w:hAnsi="Times New Roman" w:eastAsia="Times New Roman"/>
          <w:color w:val="auto"/>
          <w:sz w:val="24"/>
          <w:lang w:val="zh-CN"/>
        </w:rPr>
      </w:pPr>
    </w:p>
    <w:p>
      <w:pPr>
        <w:rPr>
          <w:rFonts w:hint="default" w:ascii="Times New Roman" w:hAnsi="Times New Roman" w:eastAsia="Times New Roman"/>
          <w:color w:val="auto"/>
          <w:kern w:val="2"/>
          <w:sz w:val="44"/>
          <w:lang w:val="zh-CN"/>
        </w:rPr>
      </w:pPr>
    </w:p>
    <w:p>
      <w:pPr>
        <w:rPr>
          <w:rFonts w:hint="default" w:ascii="Times New Roman" w:hAnsi="Times New Roman" w:eastAsia="Times New Roman"/>
          <w:color w:val="auto"/>
          <w:sz w:val="24"/>
          <w:lang w:val="zh-CN"/>
        </w:rPr>
      </w:pPr>
    </w:p>
    <w:sectPr>
      <w:footerReference r:id="rId5" w:type="default"/>
      <w:pgSz w:w="12240" w:h="15840"/>
      <w:pgMar w:top="1440" w:right="1800" w:bottom="1440" w:left="1800" w:header="720" w:footer="720" w:gutter="0"/>
      <w:lnNumType w:countBy="0" w:distance="36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Serif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sz w:val="18"/>
      </w:rPr>
    </w:pPr>
    <w:r>
      <w:rPr>
        <w:rFonts w:hint="default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鏂囨湰妗?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/>
                              <w:sz w:val="18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default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鏂囨湰妗?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DOqXm5zwAAAAUBAAAPAAAAAAAAAAEAIAAAADgAAABkcnMvZG93&#10;bnJldi54bWxQSwECFAAUAAAACACHTuJAX6GAUboBAABUAwAADgAAAAAAAAABACAAAAA0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/>
                        <w:sz w:val="18"/>
                      </w:rPr>
                    </w:pPr>
                    <w:r>
                      <w:rPr>
                        <w:rFonts w:hint="default"/>
                        <w:sz w:val="18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</w:rPr>
                      <w:t>1</w:t>
                    </w:r>
                    <w:r>
                      <w:rPr>
                        <w:rFonts w:hint="default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true"/>
  <w:drawingGridHorizontalOrigin w:val="1701"/>
  <w:drawingGridVerticalOrigin w:val="1984"/>
  <w:doNotShadeFormData w:val="true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MTI2ZjFkMGMzZWQ4NDQ5NTUyZmU2NDZjM2MwNWUifQ=="/>
  </w:docVars>
  <w:rsids>
    <w:rsidRoot w:val="00172A27"/>
    <w:rsid w:val="01914437"/>
    <w:rsid w:val="026E6195"/>
    <w:rsid w:val="03610771"/>
    <w:rsid w:val="04F928F5"/>
    <w:rsid w:val="0AB1774D"/>
    <w:rsid w:val="0B821F8B"/>
    <w:rsid w:val="0D317908"/>
    <w:rsid w:val="191C6C52"/>
    <w:rsid w:val="1D871551"/>
    <w:rsid w:val="1FF21F4F"/>
    <w:rsid w:val="27254ECE"/>
    <w:rsid w:val="2C7B4FE9"/>
    <w:rsid w:val="34C855ED"/>
    <w:rsid w:val="37AE1242"/>
    <w:rsid w:val="3B801AFA"/>
    <w:rsid w:val="3CB64285"/>
    <w:rsid w:val="424233C1"/>
    <w:rsid w:val="43011B14"/>
    <w:rsid w:val="44BC026C"/>
    <w:rsid w:val="44F51EDF"/>
    <w:rsid w:val="4A4F732C"/>
    <w:rsid w:val="5510612A"/>
    <w:rsid w:val="55811E9D"/>
    <w:rsid w:val="5AFDF14D"/>
    <w:rsid w:val="5C094DAF"/>
    <w:rsid w:val="5CF640BC"/>
    <w:rsid w:val="600F2BDD"/>
    <w:rsid w:val="64DA326B"/>
    <w:rsid w:val="671A000A"/>
    <w:rsid w:val="6D006A65"/>
    <w:rsid w:val="6E526BC7"/>
    <w:rsid w:val="712B7388"/>
    <w:rsid w:val="72084E0E"/>
    <w:rsid w:val="720C7781"/>
    <w:rsid w:val="726D7C3C"/>
    <w:rsid w:val="773049E8"/>
    <w:rsid w:val="77785B98"/>
    <w:rsid w:val="78FF0909"/>
    <w:rsid w:val="7FEE3C26"/>
    <w:rsid w:val="BEFF8FC6"/>
    <w:rsid w:val="FEEBB503"/>
    <w:rsid w:val="FFF5C7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</w:pPr>
    <w:rPr>
      <w:rFonts w:hint="default"/>
      <w:sz w:val="24"/>
    </w:rPr>
  </w:style>
  <w:style w:type="paragraph" w:styleId="2">
    <w:name w:val="heading 1"/>
    <w:unhideWhenUsed/>
    <w:uiPriority w:val="99"/>
    <w:pPr>
      <w:widowControl w:val="0"/>
      <w:autoSpaceDE w:val="0"/>
      <w:autoSpaceDN w:val="0"/>
      <w:adjustRightInd w:val="0"/>
      <w:outlineLvl w:val="0"/>
    </w:pPr>
    <w:rPr>
      <w:rFonts w:hint="default"/>
      <w:sz w:val="24"/>
    </w:rPr>
  </w:style>
  <w:style w:type="paragraph" w:styleId="3">
    <w:name w:val="heading 2"/>
    <w:unhideWhenUsed/>
    <w:uiPriority w:val="99"/>
    <w:pPr>
      <w:widowControl w:val="0"/>
      <w:autoSpaceDE w:val="0"/>
      <w:autoSpaceDN w:val="0"/>
      <w:adjustRightInd w:val="0"/>
      <w:outlineLvl w:val="1"/>
    </w:pPr>
    <w:rPr>
      <w:rFonts w:hint="default"/>
      <w:sz w:val="24"/>
    </w:rPr>
  </w:style>
  <w:style w:type="character" w:default="1" w:styleId="7">
    <w:name w:val="Default Paragraph Font"/>
    <w:unhideWhenUsed/>
    <w:uiPriority w:val="99"/>
    <w:rPr>
      <w:rFonts w:hint="default"/>
      <w:sz w:val="24"/>
    </w:rPr>
  </w:style>
  <w:style w:type="table" w:default="1" w:styleId="6">
    <w:name w:val="Normal Table"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hint="default"/>
      <w:sz w:val="18"/>
    </w:rPr>
  </w:style>
  <w:style w:type="paragraph" w:styleId="5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both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58.3333333333333</TotalTime>
  <ScaleCrop>false</ScaleCrop>
  <LinksUpToDate>false</LinksUpToDate>
  <Application>WPS Office_11.8.2.10229_F1E327BC-269C-435d-A152-05C5408002CA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2024-03-01T01:35:26Z</dcterms:created>
  <dc:creator>zhaoj_9mn0uk2</dc:creator>
  <cp:lastModifiedBy>kylin</cp:lastModifiedBy>
  <dcterms:modified xsi:type="dcterms:W3CDTF">2024-03-06T14:42:38Z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02DE270E9E9749A3A27DEC3E972A8319_13</vt:lpwstr>
  </property>
</Properties>
</file>